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4"/>
          <w:szCs w:val="24"/>
          <w:color w:val="auto"/>
        </w:rPr>
      </w:pPr>
    </w:p>
    <w:tbl>
      <w:tblPr>
        <w:tblLayout w:type="fixed"/>
        <w:tblInd w:w="940" w:type="dxa"/>
        <w:tblCellMar>
          <w:top w:w="0" w:type="dxa"/>
          <w:left w:w="0" w:type="dxa"/>
          <w:bottom w:w="0" w:type="dxa"/>
          <w:right w:w="0" w:type="dxa"/>
        </w:tblCellMar>
      </w:tblPr>
      <w:tr>
        <w:trPr>
          <w:trHeight w:val="238"/>
        </w:trPr>
        <w:tc>
          <w:tcPr>
            <w:tcW w:w="312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000004"/>
                <w:w w:val="99"/>
              </w:rPr>
              <w:t>001-39877</w:t>
            </w:r>
          </w:p>
        </w:tc>
        <w:tc>
          <w:tcPr>
            <w:tcW w:w="28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85-3022075</w:t>
            </w:r>
          </w:p>
        </w:tc>
      </w:tr>
      <w:tr>
        <w:trPr>
          <w:trHeight w:val="189"/>
        </w:trPr>
        <w:tc>
          <w:tcPr>
            <w:tcW w:w="3120" w:type="dxa"/>
            <w:vAlign w:val="bottom"/>
          </w:tcPr>
          <w:p>
            <w:pPr>
              <w:jc w:val="center"/>
              <w:ind w:right="95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8"/>
              </w:rPr>
              <w:t>(Commission</w:t>
            </w:r>
          </w:p>
        </w:tc>
        <w:tc>
          <w:tcPr>
            <w:tcW w:w="2820" w:type="dxa"/>
            <w:vAlign w:val="bottom"/>
          </w:tcPr>
          <w:p>
            <w:pPr>
              <w:jc w:val="center"/>
              <w:ind w:left="1010"/>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File Number)</w:t>
            </w:r>
          </w:p>
        </w:tc>
        <w:tc>
          <w:tcPr>
            <w:tcW w:w="28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229 West 43</w:t>
      </w:r>
      <w:r>
        <w:rPr>
          <w:rFonts w:ascii="Times New Roman" w:cs="Times New Roman" w:eastAsia="Times New Roman" w:hAnsi="Times New Roman"/>
          <w:sz w:val="23"/>
          <w:szCs w:val="23"/>
          <w:b w:val="1"/>
          <w:bCs w:val="1"/>
          <w:color w:val="auto"/>
          <w:vertAlign w:val="superscript"/>
        </w:rPr>
        <w:t>rd</w:t>
      </w:r>
      <w:r>
        <w:rPr>
          <w:rFonts w:ascii="Times New Roman" w:cs="Times New Roman" w:eastAsia="Times New Roman" w:hAnsi="Times New Roman"/>
          <w:sz w:val="18"/>
          <w:szCs w:val="18"/>
          <w:b w:val="1"/>
          <w:bCs w:val="1"/>
          <w:color w:val="auto"/>
        </w:rPr>
        <w:t xml:space="preserve"> Street</w:t>
      </w: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10036</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registrant’s principal executive offices, and zip code)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(646) 397-2039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4"/>
          <w:szCs w:val="24"/>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55"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49"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55"/>
        </w:trPr>
        <w:tc>
          <w:tcPr>
            <w:tcW w:w="498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2"/>
                <w:szCs w:val="22"/>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Symbol(s)</w:t>
            </w:r>
          </w:p>
        </w:tc>
        <w:tc>
          <w:tcPr>
            <w:tcW w:w="100" w:type="dxa"/>
            <w:vAlign w:val="bottom"/>
          </w:tcPr>
          <w:p>
            <w:pPr>
              <w:spacing w:after="0"/>
              <w:rPr>
                <w:sz w:val="22"/>
                <w:szCs w:val="22"/>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on which registered</w:t>
            </w: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BZFD</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25"/>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Redeemable warrants, each whole warrant exercisable for one share</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BZFDW</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03"/>
        </w:trPr>
        <w:tc>
          <w:tcPr>
            <w:tcW w:w="50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of Class A Common Stock at an exercise price of approximately</w:t>
            </w: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34"/>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$46.00 per share</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10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21"/>
          <w:szCs w:val="21"/>
          <w:b w:val="1"/>
          <w:bCs w:val="1"/>
          <w:color w:val="auto"/>
        </w:rPr>
        <w:t>x</w:t>
      </w:r>
    </w:p>
    <w:p>
      <w:pPr>
        <w:spacing w:after="0" w:line="7" w:lineRule="exact"/>
        <w:rPr>
          <w:sz w:val="20"/>
          <w:szCs w:val="20"/>
          <w:color w:val="auto"/>
        </w:rPr>
      </w:pPr>
    </w:p>
    <w:p>
      <w:pPr>
        <w:spacing w:after="0" w:line="25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1862455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1086485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13, 2025, BuzzFeed, Inc. (the “Company”), issued a press release (the “Press Release”) announcing its financial results for the fourth quarter and full year ended December 31, 2024. The Company also announced that it would be holding a conference call on March 13, 2025 to discuss its financial results. A copy of the Press Release is furnished as Exhibit 99.1 to this Current Report on Form 8-K.</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included under Item 2.02 of this Current Report on Form 8-K and the exhibits hereto are being furnished and shall not be deemed “filed” for purposes of Section 18 of the Securities Exchange Act of 1934, as amended (the “Exchange Act”), or otherwise subject to the liabilities of that section, nor shall it been deemed incorporated by reference in any filing under the Securities Act of 1933, as amended, or the Exchange Act, except as shall be expressly set forth by specific reference in such a filing.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13, 2025, the Company posted supplemental investor materials on the Investors Relations section of its website, available at investors.buzzfeed.com. The Company announces material information to the public through filings with the Securities and Exchange Commission, the investor relations page on the Company’s website, press releases, public conference calls and webcasts in order to achieve broad, non-exclusionary distribution of information to the public and for complying with its disclosure obligations under Regulation FD.</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disclosed by the foregoing channels could be deemed to be material information. As such, the Company encourages investors, the media, and others to follow the channels listed above, and to review the information disclosed through such channels.</w:t>
      </w:r>
    </w:p>
    <w:p>
      <w:pPr>
        <w:spacing w:after="0" w:line="10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updates to the list of disclosure channels through which the Company announces information will be posted on the investor relations page on the Company’s website.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as part of this Current Report on Form 8-K.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3" w:lineRule="exact"/>
        <w:rPr>
          <w:sz w:val="20"/>
          <w:szCs w:val="20"/>
          <w:color w:val="auto"/>
        </w:rPr>
      </w:pPr>
    </w:p>
    <w:p>
      <w:pPr>
        <w:ind w:left="920" w:hanging="264"/>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1"/>
                <w:szCs w:val="21"/>
                <w:color w:val="auto"/>
              </w:rPr>
            </w:pPr>
          </w:p>
        </w:tc>
      </w:tr>
      <w:tr>
        <w:trPr>
          <w:trHeight w:val="203"/>
        </w:trPr>
        <w:tc>
          <w:tcPr>
            <w:tcW w:w="19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Borders>
              <w:bottom w:val="single" w:sz="8" w:color="0000FF"/>
            </w:tcBorders>
          </w:tcPr>
          <w:p>
            <w:pPr>
              <w:spacing w:after="0" w:line="202" w:lineRule="exact"/>
              <w:rPr>
                <w:sz w:val="20"/>
                <w:szCs w:val="20"/>
                <w:color w:val="auto"/>
              </w:rPr>
            </w:pPr>
            <w:r>
              <w:rPr>
                <w:rFonts w:ascii="Times New Roman" w:cs="Times New Roman" w:eastAsia="Times New Roman" w:hAnsi="Times New Roman"/>
                <w:sz w:val="18"/>
                <w:szCs w:val="18"/>
                <w:color w:val="0000FF"/>
                <w:w w:val="99"/>
              </w:rPr>
              <w:t>Press Release Dated March 13, 2025.</w:t>
            </w:r>
          </w:p>
        </w:tc>
        <w:tc>
          <w:tcPr>
            <w:tcW w:w="6480" w:type="dxa"/>
            <w:vAlign w:val="bottom"/>
            <w:gridSpan w:val="2"/>
          </w:tcPr>
          <w:p>
            <w:pPr>
              <w:spacing w:after="0"/>
              <w:rPr>
                <w:sz w:val="17"/>
                <w:szCs w:val="17"/>
                <w:color w:val="auto"/>
              </w:rPr>
            </w:pPr>
          </w:p>
        </w:tc>
      </w:tr>
      <w:tr>
        <w:trPr>
          <w:trHeight w:val="277"/>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03"/>
        </w:trPr>
        <w:tc>
          <w:tcPr>
            <w:tcW w:w="1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64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215"/>
        </w:trPr>
        <w:tc>
          <w:tcPr>
            <w:tcW w:w="1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6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7" w:lineRule="exact"/>
        <w:rPr>
          <w:sz w:val="20"/>
          <w:szCs w:val="20"/>
          <w:color w:val="auto"/>
        </w:rPr>
      </w:pPr>
    </w:p>
    <w:p>
      <w:pPr>
        <w:ind w:left="20"/>
        <w:spacing w:after="0"/>
        <w:tabs>
          <w:tab w:leader="none" w:pos="18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3/13/2025</w:t>
      </w:r>
    </w:p>
    <w:p>
      <w:pPr>
        <w:spacing w:after="0" w:line="4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0" w:lineRule="exact"/>
        <w:rPr>
          <w:sz w:val="20"/>
          <w:szCs w:val="20"/>
          <w:color w:val="auto"/>
        </w:rPr>
      </w:pPr>
    </w:p>
    <w:p>
      <w:pPr>
        <w:ind w:left="5460"/>
        <w:spacing w:after="0"/>
        <w:tabs>
          <w:tab w:leader="none" w:pos="7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26035</wp:posOffset>
            </wp:positionV>
            <wp:extent cx="26314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Name: Jonah Peretti</w:t>
      </w:r>
    </w:p>
    <w:p>
      <w:pPr>
        <w:spacing w:after="0" w:line="5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 w:name="page5"/>
    <w:bookmarkEnd w:id="4"/>
    <w:p>
      <w:pPr>
        <w:jc w:val="center"/>
        <w:ind w:left="340" w:right="700"/>
        <w:spacing w:after="0" w:line="275" w:lineRule="auto"/>
        <w:rPr>
          <w:sz w:val="20"/>
          <w:szCs w:val="20"/>
          <w:color w:val="auto"/>
        </w:rPr>
      </w:pPr>
      <w:r>
        <w:rPr>
          <w:rFonts w:ascii="Times New Roman" w:cs="Times New Roman" w:eastAsia="Times New Roman" w:hAnsi="Times New Roman"/>
          <w:sz w:val="22"/>
          <w:szCs w:val="22"/>
          <w:b w:val="1"/>
          <w:bCs w:val="1"/>
          <w:color w:val="auto"/>
        </w:rPr>
        <w:t>BUZZFEED, INC. COMPLETES STRATEGIC AND ORGANIZATIONAL CHANGES FOLLOWING A TRANSFORMATIVE 2024</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Company Strengthens Balance Sheet, Grows High-Margin Revenue Streams, and Expands AI-Driven Innovation</w:t>
      </w:r>
    </w:p>
    <w:p>
      <w:pPr>
        <w:spacing w:after="0" w:line="19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NEW YORK – (March 13, 2025)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12121"/>
        </w:rPr>
        <w:t>BuzzFeed, Inc.’s (“BuzzFeed” or the “Company”) (Nasdaq: BZFD) fourth quarter and full year (ended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12121"/>
        </w:rPr>
        <w:t>2024) financial results were in line with its outlook shared in December, demonstrating progress in stabilizing operations and positioning the business for long-term growth. Following a strategic transformation in 2024, BuzzFeed is optimistic about the year ahead and is committed to bettering operational efficiency and improving monetization across the Company’s owned and operated sites and apps.</w:t>
      </w:r>
    </w:p>
    <w:p>
      <w:pPr>
        <w:spacing w:after="0" w:line="13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212121"/>
        </w:rPr>
        <w:t xml:space="preserve">“BuzzFeed has always been at the forefront of digital media, evolving with industry shifts and embracing new technologies,” said </w:t>
      </w:r>
      <w:r>
        <w:rPr>
          <w:rFonts w:ascii="Times New Roman" w:cs="Times New Roman" w:eastAsia="Times New Roman" w:hAnsi="Times New Roman"/>
          <w:sz w:val="18"/>
          <w:szCs w:val="18"/>
          <w:b w:val="1"/>
          <w:bCs w:val="1"/>
          <w:color w:val="212121"/>
        </w:rPr>
        <w:t>Jonah Peretti,</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b w:val="1"/>
          <w:bCs w:val="1"/>
          <w:color w:val="212121"/>
        </w:rPr>
        <w:t>BuzzFeed Founder &amp; CEO</w:t>
      </w:r>
      <w:r>
        <w:rPr>
          <w:rFonts w:ascii="Times New Roman" w:cs="Times New Roman" w:eastAsia="Times New Roman" w:hAnsi="Times New Roman"/>
          <w:sz w:val="18"/>
          <w:szCs w:val="18"/>
          <w:color w:val="212121"/>
        </w:rPr>
        <w:t>. “2024 was a transformational year as we strengthened our fundamentals, streamlined operations, and scaled our high-margin</w:t>
      </w:r>
      <w:r>
        <w:rPr>
          <w:rFonts w:ascii="Times New Roman" w:cs="Times New Roman" w:eastAsia="Times New Roman" w:hAnsi="Times New Roman"/>
          <w:sz w:val="18"/>
          <w:szCs w:val="18"/>
          <w:b w:val="1"/>
          <w:bCs w:val="1"/>
          <w:color w:val="212121"/>
        </w:rPr>
        <w:t xml:space="preserve"> </w:t>
      </w:r>
      <w:r>
        <w:rPr>
          <w:rFonts w:ascii="Times New Roman" w:cs="Times New Roman" w:eastAsia="Times New Roman" w:hAnsi="Times New Roman"/>
          <w:sz w:val="18"/>
          <w:szCs w:val="18"/>
          <w:color w:val="212121"/>
        </w:rPr>
        <w:t>revenue streams. By leveraging AI to optimize our tech and advertising, enhance audience engagement, and explore R&amp;D for BF Island, we have positioned BuzzFeed for long-term success in the AI era.”</w:t>
      </w:r>
    </w:p>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12121"/>
        </w:rPr>
        <w:t>As part of this strategy, BuzzFeed recently announced the development of BF Island, a new social platform designed to reimagine how people create, share, and engage with content. This ambitious long-term investment aligns with the Company’s vision of fostering creativity and fun while building a more direct relationship with audiences. The Company plans to begin private beta testing BF Island with users in Q2.</w:t>
      </w:r>
    </w:p>
    <w:p>
      <w:pPr>
        <w:spacing w:after="0" w:line="16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8"/>
          <w:szCs w:val="18"/>
          <w:color w:val="212121"/>
        </w:rPr>
        <w:t>“We’ve significantly reduced our debt and strengthened our balance sheet, putting us in a much stronger financial position heading into 2025,” said Matt Omer, BuzzFeed CFO. “With a leaner, more focused operation, we’re prioritizing high-margin, tech-enabled revenue streams like programmatic advertising, affiliate commerce, and AI-driven innovation. These moves give us the flexibility to invest in long-term growth while driving sustainable profitability.”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2024 Full Year Financial and Operational Highlights for Continuing Operations</w:t>
      </w:r>
      <w:r>
        <w:rPr>
          <w:rFonts w:ascii="Times New Roman" w:cs="Times New Roman" w:eastAsia="Times New Roman" w:hAnsi="Times New Roman"/>
          <w:sz w:val="23"/>
          <w:szCs w:val="23"/>
          <w:color w:val="auto"/>
          <w:vertAlign w:val="superscript"/>
        </w:rPr>
        <w:t>1</w:t>
      </w:r>
    </w:p>
    <w:p>
      <w:pPr>
        <w:spacing w:after="0" w:line="141"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BuzzFeed delivered Full Year 2024 revenues of $189.9 million, declining 18% compared to 2023</w:t>
      </w:r>
    </w:p>
    <w:p>
      <w:pPr>
        <w:spacing w:after="0" w:line="117" w:lineRule="exact"/>
        <w:rPr>
          <w:rFonts w:ascii="Times New Roman" w:cs="Times New Roman" w:eastAsia="Times New Roman" w:hAnsi="Times New Roman"/>
          <w:sz w:val="18"/>
          <w:szCs w:val="18"/>
          <w:color w:val="auto"/>
        </w:rPr>
      </w:pPr>
    </w:p>
    <w:p>
      <w:pPr>
        <w:ind w:left="1300" w:right="240" w:hanging="320"/>
        <w:spacing w:after="0" w:line="263" w:lineRule="auto"/>
        <w:tabs>
          <w:tab w:leader="none" w:pos="128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Advertising revenue </w:t>
      </w:r>
      <w:r>
        <w:rPr>
          <w:rFonts w:ascii="Times New Roman" w:cs="Times New Roman" w:eastAsia="Times New Roman" w:hAnsi="Times New Roman"/>
          <w:sz w:val="18"/>
          <w:szCs w:val="18"/>
          <w:color w:val="auto"/>
        </w:rPr>
        <w:t>declined 17% year-over-year to $94.4 million, reflecting an intentional shift away from lower-margin direct 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advertising.</w:t>
      </w:r>
    </w:p>
    <w:p>
      <w:pPr>
        <w:ind w:left="1940" w:hanging="312"/>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Programmatic advertising remained relatively flat year-over-year at $64.9 million.</w:t>
      </w:r>
    </w:p>
    <w:p>
      <w:pPr>
        <w:spacing w:after="0" w:line="229" w:lineRule="exact"/>
        <w:rPr>
          <w:rFonts w:ascii="Times New Roman" w:cs="Times New Roman" w:eastAsia="Times New Roman" w:hAnsi="Times New Roman"/>
          <w:sz w:val="18"/>
          <w:szCs w:val="18"/>
          <w:color w:val="auto"/>
        </w:rPr>
      </w:pPr>
    </w:p>
    <w:p>
      <w:pPr>
        <w:ind w:left="1300" w:right="640" w:hanging="320"/>
        <w:spacing w:after="0" w:line="286" w:lineRule="auto"/>
        <w:tabs>
          <w:tab w:leader="none" w:pos="128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Content revenue </w:t>
      </w:r>
      <w:r>
        <w:rPr>
          <w:rFonts w:ascii="Times New Roman" w:cs="Times New Roman" w:eastAsia="Times New Roman" w:hAnsi="Times New Roman"/>
          <w:sz w:val="18"/>
          <w:szCs w:val="18"/>
          <w:color w:val="auto"/>
        </w:rPr>
        <w:t>declined 49% year-over-year to $33.9 million, primarily due to a decrease in direct-sold deals and fewer studio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projects.</w:t>
      </w:r>
    </w:p>
    <w:p>
      <w:pPr>
        <w:spacing w:after="0" w:line="18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Commerce and other revenues </w:t>
      </w:r>
      <w:r>
        <w:rPr>
          <w:rFonts w:ascii="Times New Roman" w:cs="Times New Roman" w:eastAsia="Times New Roman" w:hAnsi="Times New Roman"/>
          <w:sz w:val="18"/>
          <w:szCs w:val="18"/>
          <w:color w:val="auto"/>
        </w:rPr>
        <w:t>grew 23% year-over-year to $61.7 million, driven by strong affiliate commerce performance.</w:t>
      </w:r>
    </w:p>
    <w:p>
      <w:pPr>
        <w:spacing w:after="0" w:line="3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commerce increased 26% year-over-year to $59.6 million.</w:t>
      </w:r>
    </w:p>
    <w:p>
      <w:pPr>
        <w:spacing w:after="0" w:line="229" w:lineRule="exact"/>
        <w:rPr>
          <w:rFonts w:ascii="Times New Roman" w:cs="Times New Roman" w:eastAsia="Times New Roman" w:hAnsi="Times New Roman"/>
          <w:sz w:val="18"/>
          <w:szCs w:val="18"/>
          <w:color w:val="auto"/>
        </w:rPr>
      </w:pPr>
    </w:p>
    <w:p>
      <w:pPr>
        <w:ind w:left="660" w:right="160" w:hanging="328"/>
        <w:spacing w:after="0" w:line="286" w:lineRule="auto"/>
        <w:tabs>
          <w:tab w:leader="none" w:pos="64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loss from continuing operations improved to $34.0 million</w:t>
      </w:r>
      <w:r>
        <w:rPr>
          <w:rFonts w:ascii="Times New Roman" w:cs="Times New Roman" w:eastAsia="Times New Roman" w:hAnsi="Times New Roman"/>
          <w:sz w:val="18"/>
          <w:szCs w:val="18"/>
          <w:color w:val="auto"/>
        </w:rPr>
        <w:t>, compared to a net loss from continuing operations of $55.7 million in 2023,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of successful cost savings and operational efficiencies.</w:t>
      </w:r>
    </w:p>
    <w:p>
      <w:pPr>
        <w:spacing w:after="0" w:line="11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b w:val="1"/>
          <w:bCs w:val="1"/>
          <w:color w:val="auto"/>
        </w:rPr>
        <w:t xml:space="preserve"> improved by $17.1 million </w:t>
      </w:r>
      <w:r>
        <w:rPr>
          <w:rFonts w:ascii="Times New Roman" w:cs="Times New Roman" w:eastAsia="Times New Roman" w:hAnsi="Times New Roman"/>
          <w:sz w:val="18"/>
          <w:szCs w:val="18"/>
          <w:color w:val="auto"/>
        </w:rPr>
        <w:t>year-over-year, achieving positive Adjusted EBITDA of $5.5 million for the full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1714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5" w:lineRule="exact"/>
        <w:rPr>
          <w:sz w:val="20"/>
          <w:szCs w:val="20"/>
          <w:color w:val="auto"/>
        </w:rPr>
      </w:pPr>
    </w:p>
    <w:p>
      <w:pPr>
        <w:ind w:right="80" w:firstLine="8"/>
        <w:spacing w:after="0" w:line="299" w:lineRule="auto"/>
        <w:tabs>
          <w:tab w:leader="none" w:pos="83"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historical financial results of Complex Networks and First We Feast have been reflected as discontinued operations in our consolidated financial statements. Amounts presented throughout this press release are on a continuing operations basis.</w:t>
      </w:r>
    </w:p>
    <w:p>
      <w:pPr>
        <w:spacing w:after="0" w:line="4" w:lineRule="exact"/>
        <w:rPr>
          <w:sz w:val="20"/>
          <w:szCs w:val="20"/>
          <w:color w:val="auto"/>
        </w:rPr>
      </w:pPr>
    </w:p>
    <w:p>
      <w:pPr>
        <w:ind w:firstLine="8"/>
        <w:spacing w:after="0" w:line="230" w:lineRule="auto"/>
        <w:tabs>
          <w:tab w:leader="none" w:pos="83"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used throughout, Adjusted EBITDA is a non-GAAP financial measure. Refer to “Non-GAAP Financial Measures” below for a description of how it is calculated and the tables at the back of this earnings release for a reconciliation of our GAAP and non-GAAP results.</w:t>
      </w:r>
    </w:p>
    <w:p>
      <w:pPr>
        <w:sectPr>
          <w:pgSz w:w="11900" w:h="16838" w:orient="portrait"/>
          <w:cols w:equalWidth="0" w:num="1">
            <w:col w:w="11220"/>
          </w:cols>
          <w:pgMar w:left="320" w:top="1418" w:right="359" w:bottom="1440" w:gutter="0" w:footer="0" w:header="0"/>
        </w:sectPr>
      </w:pPr>
    </w:p>
    <w:bookmarkStart w:id="5" w:name="page6"/>
    <w:bookmarkEnd w:id="5"/>
    <w:p>
      <w:pPr>
        <w:ind w:left="660" w:right="440" w:hanging="328"/>
        <w:spacing w:after="0" w:line="231" w:lineRule="auto"/>
        <w:tabs>
          <w:tab w:leader="none" w:pos="6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2024, audience </w:t>
      </w:r>
      <w:r>
        <w:rPr>
          <w:rFonts w:ascii="Times New Roman" w:cs="Times New Roman" w:eastAsia="Times New Roman" w:hAnsi="Times New Roman"/>
          <w:sz w:val="18"/>
          <w:szCs w:val="18"/>
          <w:b w:val="1"/>
          <w:bCs w:val="1"/>
          <w:color w:val="auto"/>
        </w:rPr>
        <w:t>Time Spent</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with our content totaled 297.9 million hours, reflecting a 3% decline year-over-year, though we continue to outpace the competition.</w:t>
      </w:r>
    </w:p>
    <w:p>
      <w:pPr>
        <w:spacing w:after="0" w:line="1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BuzzFeed ended the period with </w:t>
      </w: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18"/>
          <w:szCs w:val="18"/>
          <w:color w:val="auto"/>
        </w:rPr>
        <w:t xml:space="preserve"> of approximately $38.6 million, an increase of $3.0 million compared to 2023.</w:t>
      </w:r>
    </w:p>
    <w:p>
      <w:pPr>
        <w:spacing w:after="0" w:line="200" w:lineRule="exact"/>
        <w:rPr>
          <w:sz w:val="20"/>
          <w:szCs w:val="20"/>
          <w:color w:val="auto"/>
        </w:rPr>
      </w:pPr>
    </w:p>
    <w:p>
      <w:pPr>
        <w:spacing w:after="0" w:line="380" w:lineRule="exact"/>
        <w:rPr>
          <w:sz w:val="20"/>
          <w:szCs w:val="20"/>
          <w:color w:val="auto"/>
        </w:rPr>
      </w:pPr>
    </w:p>
    <w:p>
      <w:pPr>
        <w:ind w:left="660" w:right="440" w:hanging="328"/>
        <w:spacing w:after="0" w:line="286" w:lineRule="auto"/>
        <w:tabs>
          <w:tab w:leader="none" w:pos="6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BuzzFeed delivered Q4 revenues of $56.2 million, declining 20% compared to the fourth quarter of 2023</w:t>
      </w:r>
      <w:r>
        <w:rPr>
          <w:rFonts w:ascii="Times New Roman" w:cs="Times New Roman" w:eastAsia="Times New Roman" w:hAnsi="Times New Roman"/>
          <w:sz w:val="18"/>
          <w:szCs w:val="18"/>
          <w:color w:val="auto"/>
        </w:rPr>
        <w:t>, in line with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outlook shared in December</w:t>
      </w:r>
    </w:p>
    <w:p>
      <w:pPr>
        <w:spacing w:after="0" w:line="46" w:lineRule="exact"/>
        <w:rPr>
          <w:rFonts w:ascii="Times New Roman" w:cs="Times New Roman" w:eastAsia="Times New Roman" w:hAnsi="Times New Roman"/>
          <w:sz w:val="18"/>
          <w:szCs w:val="18"/>
          <w:color w:val="auto"/>
        </w:rPr>
      </w:pPr>
    </w:p>
    <w:p>
      <w:pPr>
        <w:ind w:left="1300" w:right="120" w:hanging="320"/>
        <w:spacing w:after="0" w:line="263" w:lineRule="auto"/>
        <w:tabs>
          <w:tab w:leader="none" w:pos="128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Advertising revenue </w:t>
      </w:r>
      <w:r>
        <w:rPr>
          <w:rFonts w:ascii="Times New Roman" w:cs="Times New Roman" w:eastAsia="Times New Roman" w:hAnsi="Times New Roman"/>
          <w:sz w:val="18"/>
          <w:szCs w:val="18"/>
          <w:color w:val="auto"/>
        </w:rPr>
        <w:t>declined 19% year-over-year to $25.4 million, reflecting a deemphasis of direct sold advertising and into higher-margin programmatic advertising.</w:t>
      </w:r>
    </w:p>
    <w:p>
      <w:pPr>
        <w:ind w:left="1940" w:hanging="312"/>
        <w:spacing w:after="0"/>
        <w:tabs>
          <w:tab w:leader="none" w:pos="194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Programmatic advertising remained relatively flat year-over-year at $18.0 million.</w:t>
      </w:r>
    </w:p>
    <w:p>
      <w:pPr>
        <w:spacing w:after="0" w:line="22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Content revenue </w:t>
      </w:r>
      <w:r>
        <w:rPr>
          <w:rFonts w:ascii="Times New Roman" w:cs="Times New Roman" w:eastAsia="Times New Roman" w:hAnsi="Times New Roman"/>
          <w:sz w:val="18"/>
          <w:szCs w:val="18"/>
          <w:color w:val="auto"/>
        </w:rPr>
        <w:t>declined 59% year-over-year to $9.5 million, driven by a reduction in direct-sold content deals and studio revenue.</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Commerce and other revenues </w:t>
      </w:r>
      <w:r>
        <w:rPr>
          <w:rFonts w:ascii="Times New Roman" w:cs="Times New Roman" w:eastAsia="Times New Roman" w:hAnsi="Times New Roman"/>
          <w:sz w:val="18"/>
          <w:szCs w:val="18"/>
          <w:color w:val="auto"/>
        </w:rPr>
        <w:t>increased 39% year-over-year to $21.3 million, supported by strong affiliate performance.</w:t>
      </w:r>
    </w:p>
    <w:p>
      <w:pPr>
        <w:spacing w:after="0" w:line="3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commerce grew 39% year-over-year to $20.8 million.</w:t>
      </w:r>
    </w:p>
    <w:p>
      <w:pPr>
        <w:spacing w:after="0" w:line="243" w:lineRule="exact"/>
        <w:rPr>
          <w:rFonts w:ascii="Times New Roman" w:cs="Times New Roman" w:eastAsia="Times New Roman" w:hAnsi="Times New Roman"/>
          <w:sz w:val="18"/>
          <w:szCs w:val="18"/>
          <w:color w:val="auto"/>
        </w:rPr>
      </w:pPr>
    </w:p>
    <w:p>
      <w:pPr>
        <w:ind w:left="660" w:hanging="328"/>
        <w:spacing w:after="0" w:line="286" w:lineRule="auto"/>
        <w:tabs>
          <w:tab w:leader="none" w:pos="6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loss from continuing operations was $3.8 million</w:t>
      </w:r>
      <w:r>
        <w:rPr>
          <w:rFonts w:ascii="Times New Roman" w:cs="Times New Roman" w:eastAsia="Times New Roman" w:hAnsi="Times New Roman"/>
          <w:sz w:val="18"/>
          <w:szCs w:val="18"/>
          <w:color w:val="auto"/>
        </w:rPr>
        <w:t>, compared to net income from continuing operations of $4.4 million in the fourth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2023.</w:t>
      </w:r>
    </w:p>
    <w:p>
      <w:pPr>
        <w:spacing w:after="0" w:line="1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Adjusted EBITDA for Q4 2024 was $10.9 million</w:t>
      </w:r>
      <w:r>
        <w:rPr>
          <w:rFonts w:ascii="Times New Roman" w:cs="Times New Roman" w:eastAsia="Times New Roman" w:hAnsi="Times New Roman"/>
          <w:sz w:val="18"/>
          <w:szCs w:val="18"/>
          <w:color w:val="auto"/>
        </w:rPr>
        <w:t>, compared to Adjusted EBITDA of $13.0 million in the fourth quarter of 2023.</w:t>
      </w:r>
    </w:p>
    <w:p>
      <w:pPr>
        <w:spacing w:after="0" w:line="18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Time Spent </w:t>
      </w:r>
      <w:r>
        <w:rPr>
          <w:rFonts w:ascii="Times New Roman" w:cs="Times New Roman" w:eastAsia="Times New Roman" w:hAnsi="Times New Roman"/>
          <w:sz w:val="18"/>
          <w:szCs w:val="18"/>
          <w:color w:val="auto"/>
        </w:rPr>
        <w:t>improved approximately 10% year-over-year to 79.3 million hours, and BuzzFeed continues to outpace the competition.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and Content Highlights</w:t>
      </w:r>
    </w:p>
    <w:p>
      <w:pPr>
        <w:spacing w:after="0" w:line="266" w:lineRule="exact"/>
        <w:rPr>
          <w:sz w:val="20"/>
          <w:szCs w:val="20"/>
          <w:color w:val="auto"/>
        </w:rPr>
      </w:pPr>
    </w:p>
    <w:p>
      <w:pPr>
        <w:ind w:left="660" w:right="140" w:hanging="328"/>
        <w:spacing w:after="0" w:line="237" w:lineRule="auto"/>
        <w:tabs>
          <w:tab w:leader="none" w:pos="647" w:val="left"/>
        </w:tabs>
        <w:numPr>
          <w:ilvl w:val="0"/>
          <w:numId w:val="8"/>
        </w:numPr>
        <w:rPr>
          <w:rFonts w:ascii="Times New Roman" w:cs="Times New Roman" w:eastAsia="Times New Roman" w:hAnsi="Times New Roman"/>
          <w:sz w:val="18"/>
          <w:szCs w:val="18"/>
          <w:color w:val="212121"/>
        </w:rPr>
      </w:pPr>
      <w:r>
        <w:rPr>
          <w:rFonts w:ascii="Times New Roman" w:cs="Times New Roman" w:eastAsia="Times New Roman" w:hAnsi="Times New Roman"/>
          <w:sz w:val="18"/>
          <w:szCs w:val="18"/>
          <w:color w:val="auto"/>
        </w:rPr>
        <w:t>In Q4, audiences s</w:t>
      </w:r>
      <w:r>
        <w:rPr>
          <w:rFonts w:ascii="Times New Roman" w:cs="Times New Roman" w:eastAsia="Times New Roman" w:hAnsi="Times New Roman"/>
          <w:sz w:val="18"/>
          <w:szCs w:val="18"/>
          <w:b w:val="1"/>
          <w:bCs w:val="1"/>
          <w:color w:val="auto"/>
        </w:rPr>
        <w:t>pent more time consuming BuzzFeed content —</w:t>
      </w:r>
      <w:r>
        <w:rPr>
          <w:rFonts w:ascii="Times New Roman" w:cs="Times New Roman" w:eastAsia="Times New Roman" w:hAnsi="Times New Roman"/>
          <w:sz w:val="18"/>
          <w:szCs w:val="18"/>
          <w:color w:val="auto"/>
        </w:rPr>
        <w:t xml:space="preserve"> both overall and among its core demographic of Millennial and Gen Z — than that of any other digital media company in its competitive set,</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reinforcing the Company’s strong tech optimization and engagement strategies.</w:t>
      </w:r>
    </w:p>
    <w:p>
      <w:pPr>
        <w:spacing w:after="0" w:line="171" w:lineRule="exact"/>
        <w:rPr>
          <w:rFonts w:ascii="Times New Roman" w:cs="Times New Roman" w:eastAsia="Times New Roman" w:hAnsi="Times New Roman"/>
          <w:sz w:val="18"/>
          <w:szCs w:val="18"/>
          <w:color w:val="212121"/>
        </w:rPr>
      </w:pPr>
    </w:p>
    <w:p>
      <w:pPr>
        <w:ind w:left="660" w:right="340" w:hanging="328"/>
        <w:spacing w:after="0" w:line="276" w:lineRule="auto"/>
        <w:tabs>
          <w:tab w:leader="none" w:pos="6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achieved significant year-over-year growth in affiliate commerce revenue from both July’s Amazon Prime Day and October’s Prime Big Deal Day, demonstrating strong momentum as we continue to expand high-margin affiliate commerce.</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the Company drove more than $500 million in attributable transactions in 2024 for our commerce partners.</w:t>
      </w:r>
    </w:p>
    <w:p>
      <w:pPr>
        <w:spacing w:after="0" w:line="23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Q4 2024, the percentage of loyal users across BuzzFeed.com’s web and app (those who return more than once within a 7-day period) reached approximately 48% - the highest level in the last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714375</wp:posOffset>
            </wp:positionV>
            <wp:extent cx="1714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0" w:hanging="92"/>
        <w:spacing w:after="0"/>
        <w:tabs>
          <w:tab w:leader="none" w:pos="10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Refer to the definition of “Time Spent” below.</w:t>
      </w:r>
    </w:p>
    <w:p>
      <w:pPr>
        <w:ind w:left="100" w:hanging="92"/>
        <w:spacing w:after="0" w:line="207" w:lineRule="auto"/>
        <w:tabs>
          <w:tab w:leader="none" w:pos="10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Source: Comscore Media Trend, A18+, December 2024; Comps include Condé Nast Digital, Vox Media, People, Bustle Digital Group, Dot Dash Meredith</w:t>
      </w:r>
    </w:p>
    <w:p>
      <w:pPr>
        <w:sectPr>
          <w:pgSz w:w="11900" w:h="16838" w:orient="portrait"/>
          <w:cols w:equalWidth="0" w:num="1">
            <w:col w:w="11100"/>
          </w:cols>
          <w:pgMar w:left="320" w:top="1413"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Full Year 2025 Financial Outlook</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outlook is on a continuing operations basis and includes our planned investment in BF Island for the year ahead.</w:t>
      </w:r>
    </w:p>
    <w:p>
      <w:pPr>
        <w:spacing w:after="0" w:line="248"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18"/>
          <w:szCs w:val="18"/>
          <w:color w:val="212121"/>
        </w:rPr>
      </w:pPr>
      <w:r>
        <w:rPr>
          <w:rFonts w:ascii="Times New Roman" w:cs="Times New Roman" w:eastAsia="Times New Roman" w:hAnsi="Times New Roman"/>
          <w:sz w:val="18"/>
          <w:szCs w:val="18"/>
          <w:color w:val="212121"/>
        </w:rPr>
        <w:t xml:space="preserve">We expect </w:t>
      </w:r>
      <w:r>
        <w:rPr>
          <w:rFonts w:ascii="Times New Roman" w:cs="Times New Roman" w:eastAsia="Times New Roman" w:hAnsi="Times New Roman"/>
          <w:sz w:val="18"/>
          <w:szCs w:val="18"/>
          <w:b w:val="1"/>
          <w:bCs w:val="1"/>
          <w:color w:val="212121"/>
        </w:rPr>
        <w:t>overall revenues</w:t>
      </w:r>
      <w:r>
        <w:rPr>
          <w:rFonts w:ascii="Times New Roman" w:cs="Times New Roman" w:eastAsia="Times New Roman" w:hAnsi="Times New Roman"/>
          <w:sz w:val="18"/>
          <w:szCs w:val="18"/>
          <w:color w:val="212121"/>
        </w:rPr>
        <w:t xml:space="preserve"> in the range of </w:t>
      </w:r>
      <w:r>
        <w:rPr>
          <w:rFonts w:ascii="Times New Roman" w:cs="Times New Roman" w:eastAsia="Times New Roman" w:hAnsi="Times New Roman"/>
          <w:sz w:val="18"/>
          <w:szCs w:val="18"/>
          <w:b w:val="1"/>
          <w:bCs w:val="1"/>
          <w:color w:val="212121"/>
        </w:rPr>
        <w:t>$195 million to $210 million</w:t>
      </w:r>
      <w:r>
        <w:rPr>
          <w:rFonts w:ascii="Times New Roman" w:cs="Times New Roman" w:eastAsia="Times New Roman" w:hAnsi="Times New Roman"/>
          <w:sz w:val="18"/>
          <w:szCs w:val="18"/>
          <w:color w:val="212121"/>
        </w:rPr>
        <w:t>, or 3-10% higher than 2024</w:t>
      </w:r>
    </w:p>
    <w:p>
      <w:pPr>
        <w:spacing w:after="0" w:line="184" w:lineRule="exact"/>
        <w:rPr>
          <w:rFonts w:ascii="Times New Roman" w:cs="Times New Roman" w:eastAsia="Times New Roman" w:hAnsi="Times New Roman"/>
          <w:sz w:val="18"/>
          <w:szCs w:val="18"/>
          <w:color w:val="212121"/>
        </w:rPr>
      </w:pPr>
    </w:p>
    <w:p>
      <w:pPr>
        <w:ind w:left="660" w:right="280" w:hanging="328"/>
        <w:spacing w:after="0" w:line="286" w:lineRule="auto"/>
        <w:tabs>
          <w:tab w:leader="none" w:pos="647" w:val="left"/>
        </w:tabs>
        <w:numPr>
          <w:ilvl w:val="0"/>
          <w:numId w:val="11"/>
        </w:numPr>
        <w:rPr>
          <w:rFonts w:ascii="Times New Roman" w:cs="Times New Roman" w:eastAsia="Times New Roman" w:hAnsi="Times New Roman"/>
          <w:sz w:val="18"/>
          <w:szCs w:val="18"/>
          <w:color w:val="212121"/>
        </w:rPr>
      </w:pPr>
      <w:r>
        <w:rPr>
          <w:rFonts w:ascii="Times New Roman" w:cs="Times New Roman" w:eastAsia="Times New Roman" w:hAnsi="Times New Roman"/>
          <w:sz w:val="18"/>
          <w:szCs w:val="18"/>
          <w:color w:val="212121"/>
        </w:rPr>
        <w:t xml:space="preserve">We expect </w:t>
      </w:r>
      <w:r>
        <w:rPr>
          <w:rFonts w:ascii="Times New Roman" w:cs="Times New Roman" w:eastAsia="Times New Roman" w:hAnsi="Times New Roman"/>
          <w:sz w:val="18"/>
          <w:szCs w:val="18"/>
          <w:b w:val="1"/>
          <w:bCs w:val="1"/>
          <w:color w:val="212121"/>
        </w:rPr>
        <w:t>Adjusted EBITDA</w:t>
      </w:r>
      <w:r>
        <w:rPr>
          <w:rFonts w:ascii="Times New Roman" w:cs="Times New Roman" w:eastAsia="Times New Roman" w:hAnsi="Times New Roman"/>
          <w:sz w:val="18"/>
          <w:szCs w:val="18"/>
          <w:color w:val="212121"/>
        </w:rPr>
        <w:t xml:space="preserve"> in the range of </w:t>
      </w:r>
      <w:r>
        <w:rPr>
          <w:rFonts w:ascii="Times New Roman" w:cs="Times New Roman" w:eastAsia="Times New Roman" w:hAnsi="Times New Roman"/>
          <w:sz w:val="18"/>
          <w:szCs w:val="18"/>
          <w:b w:val="1"/>
          <w:bCs w:val="1"/>
          <w:color w:val="212121"/>
        </w:rPr>
        <w:t>$10 million to $20 million</w:t>
      </w:r>
      <w:r>
        <w:rPr>
          <w:rFonts w:ascii="Times New Roman" w:cs="Times New Roman" w:eastAsia="Times New Roman" w:hAnsi="Times New Roman"/>
          <w:sz w:val="18"/>
          <w:szCs w:val="18"/>
          <w:color w:val="212121"/>
        </w:rPr>
        <w:t>, an improvement of approximately $10 million year-over-year at the midpoint</w:t>
      </w:r>
    </w:p>
    <w:p>
      <w:pPr>
        <w:spacing w:after="0" w:line="11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These statements are forward-looking and actual results may differ materially as a result of many factors. Refer to “Forward-Looking Statements” below for information on factors that could cause our actual results to differ materially from these forward-looking statements.</w:t>
      </w:r>
    </w:p>
    <w:p>
      <w:pPr>
        <w:spacing w:after="0" w:line="13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Refer to “Non-GAAP Financial Measures” below for a description of how Adjusted EBITDA is calculated. While Adjusted EBITDA is a non-GAAP financial measure, we have not provided guidance for the most directly comparable GAAP financial measure — net (loss) income from continuing operations — due to the inherent difficulty in forecasting and quantifying certain amounts that are necessary to forecast such a measure. Accordingly, a reconciliation of non-GAAP guidance for Adjusted EBITDA to the corresponding GAAP measure is not available.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Quarterly Conference Call</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BuzzFeed’s management team will hold a conference call to discuss our fourth quarter and full year 2024 results today, March 13, at 5PM ET. The call will be available via webcast at investors.buzzfeed.com under the headin</w:t>
      </w:r>
      <w:r>
        <w:rPr>
          <w:rFonts w:ascii="Times New Roman" w:cs="Times New Roman" w:eastAsia="Times New Roman" w:hAnsi="Times New Roman"/>
          <w:sz w:val="18"/>
          <w:szCs w:val="18"/>
          <w:color w:val="222222"/>
        </w:rPr>
        <w:t>g News and Events, and parties interested in participating must register in advance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the same location. Upon registration, all telephone participants will receive a confirmation email detailing how to join the conference call, including the dial-in number along with a unique PIN that can be used to access the call. While it is not required, it is recommended you join 5 minutes prior to the event start time. A replay of the call will be made available at the same URL.</w:t>
      </w:r>
    </w:p>
    <w:p>
      <w:pPr>
        <w:spacing w:after="0" w:line="1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have used, and intend to continue to use, the Investor Relations section of our website at investors.buzzfeed.com as a means of disclosing material nonpublic information and for complying with our disclosure obligations under Regulation FD.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BuzzFeed reports revenues across three primary business lines: Advertising, Content and Commerce and other. The definition of “Time Spent” is also set forth below.</w:t>
      </w:r>
    </w:p>
    <w:p>
      <w:pPr>
        <w:spacing w:after="0" w:line="131" w:lineRule="exact"/>
        <w:rPr>
          <w:sz w:val="20"/>
          <w:szCs w:val="20"/>
          <w:color w:val="auto"/>
        </w:rPr>
      </w:pPr>
    </w:p>
    <w:p>
      <w:pPr>
        <w:ind w:left="660" w:right="60" w:hanging="328"/>
        <w:spacing w:after="0" w:line="268" w:lineRule="auto"/>
        <w:tabs>
          <w:tab w:leader="none" w:pos="6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Advertising revenues </w:t>
      </w:r>
      <w:r>
        <w:rPr>
          <w:rFonts w:ascii="Times New Roman" w:cs="Times New Roman" w:eastAsia="Times New Roman" w:hAnsi="Times New Roman"/>
          <w:sz w:val="18"/>
          <w:szCs w:val="18"/>
          <w:color w:val="auto"/>
        </w:rPr>
        <w:t>are primarily generated from advertisers, both programmatically and directly, for ads distributed against our editorial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news content, including display, pre-roll and mid-roll video products. We distribute these ad products across our owned and operated sites as well as third-party platforms, primarily YouTube and Apple News.</w:t>
      </w:r>
    </w:p>
    <w:p>
      <w:pPr>
        <w:spacing w:after="0" w:line="130" w:lineRule="exact"/>
        <w:rPr>
          <w:rFonts w:ascii="Times New Roman" w:cs="Times New Roman" w:eastAsia="Times New Roman" w:hAnsi="Times New Roman"/>
          <w:sz w:val="18"/>
          <w:szCs w:val="18"/>
          <w:color w:val="auto"/>
        </w:rPr>
      </w:pPr>
    </w:p>
    <w:p>
      <w:pPr>
        <w:ind w:left="660" w:right="40" w:hanging="328"/>
        <w:spacing w:after="0" w:line="268" w:lineRule="auto"/>
        <w:tabs>
          <w:tab w:leader="none" w:pos="6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Content revenues </w:t>
      </w:r>
      <w:r>
        <w:rPr>
          <w:rFonts w:ascii="Times New Roman" w:cs="Times New Roman" w:eastAsia="Times New Roman" w:hAnsi="Times New Roman"/>
          <w:sz w:val="18"/>
          <w:szCs w:val="18"/>
          <w:color w:val="auto"/>
        </w:rPr>
        <w:t>are primarily generated from clients for custom assets, including both long-form and short-form content, from branded quizzes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Instagram takeovers to sponsored content. Studio generally includes revenue from films, content licensing, TV projects, and other projects inspired by BuzzFeed IP.</w:t>
      </w:r>
    </w:p>
    <w:p>
      <w:pPr>
        <w:spacing w:after="0" w:line="130" w:lineRule="exact"/>
        <w:rPr>
          <w:rFonts w:ascii="Times New Roman" w:cs="Times New Roman" w:eastAsia="Times New Roman" w:hAnsi="Times New Roman"/>
          <w:sz w:val="18"/>
          <w:szCs w:val="18"/>
          <w:color w:val="auto"/>
        </w:rPr>
      </w:pPr>
    </w:p>
    <w:p>
      <w:pPr>
        <w:ind w:left="660" w:right="240" w:hanging="328"/>
        <w:spacing w:after="0" w:line="286" w:lineRule="auto"/>
        <w:tabs>
          <w:tab w:leader="none" w:pos="6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Commerce and other revenues </w:t>
      </w:r>
      <w:r>
        <w:rPr>
          <w:rFonts w:ascii="Times New Roman" w:cs="Times New Roman" w:eastAsia="Times New Roman" w:hAnsi="Times New Roman"/>
          <w:sz w:val="18"/>
          <w:szCs w:val="18"/>
          <w:color w:val="auto"/>
        </w:rPr>
        <w:t>consist primarily of affiliate commissions earned on transactions initiated from our editorial shopping content.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from our product licensing businesses are also included here.</w:t>
      </w:r>
    </w:p>
    <w:p>
      <w:pPr>
        <w:spacing w:after="0" w:line="127" w:lineRule="exact"/>
        <w:rPr>
          <w:rFonts w:ascii="Times New Roman" w:cs="Times New Roman" w:eastAsia="Times New Roman" w:hAnsi="Times New Roman"/>
          <w:sz w:val="18"/>
          <w:szCs w:val="18"/>
          <w:color w:val="auto"/>
        </w:rPr>
      </w:pPr>
    </w:p>
    <w:p>
      <w:pPr>
        <w:ind w:left="660" w:right="340" w:hanging="328"/>
        <w:spacing w:after="0" w:line="291" w:lineRule="auto"/>
        <w:tabs>
          <w:tab w:leader="none" w:pos="647"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Time Spent </w:t>
      </w:r>
      <w:r>
        <w:rPr>
          <w:rFonts w:ascii="Times New Roman" w:cs="Times New Roman" w:eastAsia="Times New Roman" w:hAnsi="Times New Roman"/>
          <w:sz w:val="17"/>
          <w:szCs w:val="17"/>
          <w:color w:val="auto"/>
        </w:rPr>
        <w:t>captures the time audiences spend engaging with our content across our owned and operated sites, as well as YouTube and Apple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News, as measured by Comscore. This metric excludes time spent with our content on platforms for which we have minimal advertising capabilities that contribute to our Advertising revenues, including Instagram, TikTok, Facebook, Snapchat, and X (formerly Twitter). There</w:t>
      </w:r>
    </w:p>
    <w:p>
      <w:pPr>
        <w:sectPr>
          <w:pgSz w:w="11900" w:h="16838" w:orient="portrait"/>
          <w:cols w:equalWidth="0" w:num="1">
            <w:col w:w="11200"/>
          </w:cols>
          <w:pgMar w:left="320" w:top="1427" w:right="379" w:bottom="1440" w:gutter="0" w:footer="0" w:header="0"/>
        </w:sectPr>
      </w:pPr>
    </w:p>
    <w:bookmarkStart w:id="7" w:name="page8"/>
    <w:bookmarkEnd w:id="7"/>
    <w:p>
      <w:pPr>
        <w:ind w:left="660"/>
        <w:spacing w:after="0" w:line="254" w:lineRule="auto"/>
        <w:rPr>
          <w:sz w:val="20"/>
          <w:szCs w:val="20"/>
          <w:color w:val="auto"/>
        </w:rPr>
      </w:pPr>
      <w:r>
        <w:rPr>
          <w:rFonts w:ascii="Times New Roman" w:cs="Times New Roman" w:eastAsia="Times New Roman" w:hAnsi="Times New Roman"/>
          <w:sz w:val="18"/>
          <w:szCs w:val="18"/>
          <w:color w:val="auto"/>
        </w:rPr>
        <w:t>are inherent challenges in measuring the total actual number of hours spent with our content across all platforms; however, we consider the data reported by Comscore to represent industry-standard estimates of the time actually spent on our largest distribution platforms with our most significant monetization opportunities. Time Spent presented above excludes time spent on Complex Networks, as Complex Networks is presented as a discontinued operation herein. Time Spent on Complex Networks, as reported by Comscore, was approximately 10.0 million hours through the date of the Complex Disposition, February 21, 2024, and 76 million and 126 million hours for the years ended December 31, 2023 and 2022, respectively. Time Spent on Complex Networks, as reported by Comscore, historically included Time Spent on First We Feast, as First We Feast was historically under the Complex Networks’ measurement portfolio of Comscore. It was previously determined that Time Spent on First We Feast cannot be reasonably bifurcated from Time Spent on Complex Networks. As such, we have excluded Time Spent on First We Feast from our measure of Time Spent disclosed above.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BuzzFeed, Inc.</w:t>
      </w:r>
    </w:p>
    <w:p>
      <w:pPr>
        <w:spacing w:after="0" w:line="20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222222"/>
        </w:rPr>
        <w:t>BuzzFeed, Inc. is home to the best of the Internet. Across pop culture, entertainment, shopping, food and news, our brands drive conversation and inspire what audiences watch, read, and buy now — and into the future. Born on the Internet in 2006, BuzzFeed is committed to making it better: providing trusted, quality, brand-safe news and entertainment to hundreds of millions of people; making content on the Internet more inclusive, empathetic, and creative; and inspiring our audience to live better lives.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Adjusted EBITDA and Adjusted EBITDA margin are non-GAAP financial measures and represent key metrics used by management and our board of directors to measure the operational strength and performance of our business, to establish budgets, and to develop operational goals for managing our business. We define Adjusted EBITDA as net (loss) income from continuing operations, excluding the impact of net income (loss) attributable to noncontrolling interests, income tax (benefit) provision, interest expense, net, other expense (income), net, depreciation and amortization, stock-based compensation, change in fair value of warrant liabilities, change in fair value of derivative liability, restructuring costs, impairment expense, transaction-related costs, certain litigation costs, public company readiness costs, and other non-cash and non-recurring items that management believes are not indicative of ongoing operations. Adjusted EBITDA margin is calculated by dividing Adjusted EBITDA by revenue for the same period.</w:t>
      </w:r>
    </w:p>
    <w:p>
      <w:pPr>
        <w:spacing w:after="0" w:line="162"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We believe Adjusted EBITDA and Adjusted EBITDA margin are relevant and useful information for investors because they allow investors to view performance in a manner similar to the method used by our management. There are limitations to the use of Adjusted EBITDA and Adjusted EBITDA margin, and our Adjusted EBITDA and Adjusted EBITDA margin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4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Adjusted EBITDA and Adjusted EBITDA margin should not be considered a substitute for measures prepared in accordance with GAAP. Reconciliations of non-GAAP financial measures to the most directly comparable financial results as determined in accordance with GAAP are included at the end of this press release following the accompanying financial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Certain statements in this press release may be considered forward-looking statements within the meaning of Section 27A of the Securities Act of 1933, as amended, and Section 21E of the Securities Exchange Act of 1934, as amended, which statements involve substantial risks and uncertainties. Our forward-looking statements include, but are not limited to, statements regarding our management team’s expectations, hopes, beliefs, intentions, or strategies regarding the future. In addition, any statements that refer to projections, forecasts (including our outlook for 2025), or other characterizations of future events or circumstances, including any underlying assumptions, are forward-looking statements. The words “affect,” “anticipate,” “believe,” “can,” “contemplate,” “continue,” “could,” “estimate,” “expect,” “forecast,” “intend,” “may,” “might,” “plan,” “possible,” “potential,” “predict,” “project,”</w:t>
      </w:r>
    </w:p>
    <w:p>
      <w:pPr>
        <w:sectPr>
          <w:pgSz w:w="11900" w:h="16838" w:orient="portrait"/>
          <w:cols w:equalWidth="0" w:num="1">
            <w:col w:w="11220"/>
          </w:cols>
          <w:pgMar w:left="320" w:top="1417" w:right="359" w:bottom="1440" w:gutter="0" w:footer="0" w:header="0"/>
        </w:sectPr>
      </w:pPr>
    </w:p>
    <w:bookmarkStart w:id="8" w:name="page9"/>
    <w:bookmarkEnd w:id="8"/>
    <w:p>
      <w:pPr>
        <w:spacing w:after="0" w:line="251" w:lineRule="auto"/>
        <w:rPr>
          <w:sz w:val="20"/>
          <w:szCs w:val="20"/>
          <w:color w:val="auto"/>
        </w:rPr>
      </w:pPr>
      <w:r>
        <w:rPr>
          <w:rFonts w:ascii="Times New Roman" w:cs="Times New Roman" w:eastAsia="Times New Roman" w:hAnsi="Times New Roman"/>
          <w:sz w:val="18"/>
          <w:szCs w:val="18"/>
          <w:color w:val="auto"/>
        </w:rPr>
        <w:t>“seek,” “should,” “target,” “will,” “would,” and similar expressions may identify forward-looking statements, but the absence of these words does not mean that a statement is not forward-looking. The forward-looking statements contained in this press release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(1) macroeconomic factors including: adverse economic conditions in the United States and globally, including the potential onset of recession; potential government shutdowns or failure to raise the U.S. federal debt ceiling; current global supply chain disruptions; the ongoing conflicts between Russia and Ukraine and between Israel and Hamas and any related sanctions and geopolitical tensions, and further escalation of trade tensions between the U.S. and its trading partners; tariffs; the inflationary environment; and the competitive labor market; (2) developments relating to our competitors and the digital media industry, including overall demand of advertising in the markets in which we operate; (3) demand for our products and services or changes in traffic or engagement with our brands and content; (4) changes in the business and competitive environment in which we and our current and prospective partners and advertisers operate; (5) our future capital requirements, including, but not limited to, our ability to obtain additional capital in the future, to repurchase our $30.0 million aggregate principal amount of unsecured convertible notes due 2026 (i.e., the “Notes”) upon a fundamental change such as the delisting of our Class A common stock, at their maturity, or upon the holders of the Notes requiring repayment of their Notes on or after March 31, 2025 (or, if we pay a specified fee, May 31, 2025), any restrictions imposed by, or commitments under, the indenture governing the Notes or agreements governing any future indebtedness, and any restrictions on our ability to access our cash and cash equivalents; (6) developments in the law and government regulation, including, but not limited to, revised foreign content and ownership regulations, and the outcomes of legal proceedings, regulatory disputes or governmental investigations to which we are subject; (7) the benefits of our restructuring; (8) our success divesting of companies, assets or brands we sell or in integrating and supporting the companies we acquire; (9) our success in launching new products or platforms, including any new social media platform; (10) technological developments including artificial intelligence; (11) our success in retaining or recruiting, or changes required in, officers, other key employees or directors; (12) use of content creators and on-camera talent and relationships with third parties managing certain of our branded operations outside of the United States; (13) the security of our information technology systems or data; (14) disruption in our service, or by our failure to timely and effectively scale and adapt our existing technology and infrastructure; (15) our ability to maintain the listing of our Class A common stock and warrants on The Nasdaq Stock Market LLC; and (16) those factors described under the sections entitled “Risk Factors” in the Company’s annual and quarterly filings with the Securities and Exchange Commission.</w:t>
      </w:r>
    </w:p>
    <w:p>
      <w:pPr>
        <w:spacing w:after="0" w:line="16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121"/>
        </w:rPr>
        <w:t xml:space="preserve">Media </w:t>
      </w:r>
      <w:r>
        <w:rPr>
          <w:rFonts w:ascii="Times New Roman" w:cs="Times New Roman" w:eastAsia="Times New Roman" w:hAnsi="Times New Roman"/>
          <w:sz w:val="18"/>
          <w:szCs w:val="18"/>
          <w:color w:val="000000"/>
        </w:rPr>
        <w:t>Contact</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u w:val="single" w:color="auto"/>
          <w:color w:val="1155CC"/>
        </w:rPr>
        <w:t>juliana.clifton@buzzfeed.com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 Relations Contact: </w:t>
      </w:r>
      <w:r>
        <w:rPr>
          <w:rFonts w:ascii="Times New Roman" w:cs="Times New Roman" w:eastAsia="Times New Roman" w:hAnsi="Times New Roman"/>
          <w:sz w:val="18"/>
          <w:szCs w:val="18"/>
          <w:u w:val="single" w:color="auto"/>
          <w:color w:val="1155CC"/>
        </w:rPr>
        <w:t>investors@buzzfeed.com</w:t>
      </w:r>
    </w:p>
    <w:p>
      <w:pPr>
        <w:sectPr>
          <w:pgSz w:w="11900" w:h="16838" w:orient="portrait"/>
          <w:cols w:equalWidth="0" w:num="1">
            <w:col w:w="11220"/>
          </w:cols>
          <w:pgMar w:left="320" w:top="1417" w:right="359" w:bottom="1440" w:gutter="0" w:footer="0" w:header="0"/>
        </w:sectPr>
      </w:pPr>
    </w:p>
    <w:bookmarkStart w:id="9" w:name="page10"/>
    <w:bookmarkEnd w:id="9"/>
    <w:p>
      <w:pPr>
        <w:ind w:left="4760"/>
        <w:spacing w:after="0"/>
        <w:rPr>
          <w:sz w:val="20"/>
          <w:szCs w:val="20"/>
          <w:color w:val="auto"/>
        </w:rPr>
      </w:pPr>
      <w:r>
        <w:rPr>
          <w:rFonts w:ascii="Times New Roman" w:cs="Times New Roman" w:eastAsia="Times New Roman" w:hAnsi="Times New Roman"/>
          <w:sz w:val="20"/>
          <w:szCs w:val="20"/>
          <w:b w:val="1"/>
          <w:bCs w:val="1"/>
          <w:color w:val="auto"/>
        </w:rPr>
        <w:t>BUZZFEED, INC.</w:t>
      </w:r>
    </w:p>
    <w:p>
      <w:pPr>
        <w:ind w:left="4680"/>
        <w:spacing w:after="0" w:line="197" w:lineRule="auto"/>
        <w:rPr>
          <w:sz w:val="20"/>
          <w:szCs w:val="20"/>
          <w:color w:val="auto"/>
        </w:rPr>
      </w:pPr>
      <w:r>
        <w:rPr>
          <w:rFonts w:ascii="Times New Roman" w:cs="Times New Roman" w:eastAsia="Times New Roman" w:hAnsi="Times New Roman"/>
          <w:sz w:val="20"/>
          <w:szCs w:val="20"/>
          <w:b w:val="1"/>
          <w:bCs w:val="1"/>
          <w:color w:val="auto"/>
        </w:rPr>
        <w:t>Financial Highlights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270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r>
      <w:tr>
        <w:trPr>
          <w:trHeight w:val="37"/>
        </w:trPr>
        <w:tc>
          <w:tcPr>
            <w:tcW w:w="354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0"/>
        </w:trPr>
        <w:tc>
          <w:tcPr>
            <w:tcW w:w="35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7"/>
                <w:szCs w:val="17"/>
                <w:color w:val="auto"/>
              </w:rPr>
            </w:pPr>
          </w:p>
        </w:tc>
        <w:tc>
          <w:tcPr>
            <w:tcW w:w="9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354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17"/>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Advertising</w:t>
            </w:r>
          </w:p>
        </w:tc>
        <w:tc>
          <w:tcPr>
            <w:tcW w:w="780" w:type="dxa"/>
            <w:vAlign w:val="bottom"/>
            <w:tcBorders>
              <w:bottom w:val="single" w:sz="8" w:color="CCEEFF"/>
            </w:tcBorders>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31,581</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94,362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113,642</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6"/>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Content</w:t>
            </w:r>
          </w:p>
        </w:tc>
        <w:tc>
          <w:tcPr>
            <w:tcW w:w="7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23,206</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33,875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66,748</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37"/>
        </w:trPr>
        <w:tc>
          <w:tcPr>
            <w:tcW w:w="3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43"/>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Commerce and other</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15,284</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50,051</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199"/>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780" w:type="dxa"/>
            <w:vAlign w:val="bottom"/>
            <w:tcBorders>
              <w:top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56,195</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70,071</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189,887</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230,441</w:t>
            </w:r>
          </w:p>
        </w:tc>
        <w:tc>
          <w:tcPr>
            <w:tcW w:w="8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37"/>
        </w:trPr>
        <w:tc>
          <w:tcPr>
            <w:tcW w:w="3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continuing operations</w:t>
            </w:r>
          </w:p>
        </w:tc>
        <w:tc>
          <w:tcPr>
            <w:tcW w:w="780" w:type="dxa"/>
            <w:vAlign w:val="bottom"/>
            <w:tcBorders>
              <w:bottom w:val="single" w:sz="8" w:color="CCEEFF"/>
            </w:tcBorders>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6,092</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(44,821)</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47 %</w:t>
            </w:r>
          </w:p>
        </w:tc>
      </w:tr>
      <w:tr>
        <w:trPr>
          <w:trHeight w:val="206"/>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 from continuing operations</w:t>
            </w:r>
          </w:p>
        </w:tc>
        <w:tc>
          <w:tcPr>
            <w:tcW w:w="7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(3,768)</w:t>
            </w:r>
          </w:p>
        </w:tc>
        <w:tc>
          <w:tcPr>
            <w:tcW w:w="10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4,374</w:t>
            </w:r>
          </w:p>
        </w:tc>
        <w:tc>
          <w:tcPr>
            <w:tcW w:w="80" w:type="dxa"/>
            <w:vAlign w:val="bottom"/>
          </w:tcPr>
          <w:p>
            <w:pPr>
              <w:spacing w:after="0"/>
              <w:rPr>
                <w:sz w:val="17"/>
                <w:szCs w:val="17"/>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NM</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(33,956)</w:t>
            </w:r>
          </w:p>
        </w:tc>
        <w:tc>
          <w:tcPr>
            <w:tcW w:w="10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(55,712)</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39 %</w:t>
            </w:r>
          </w:p>
        </w:tc>
      </w:tr>
      <w:tr>
        <w:trPr>
          <w:trHeight w:val="37"/>
        </w:trPr>
        <w:tc>
          <w:tcPr>
            <w:tcW w:w="3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780" w:type="dxa"/>
            <w:vAlign w:val="bottom"/>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13,030</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(11,645)</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37"/>
        </w:trPr>
        <w:tc>
          <w:tcPr>
            <w:tcW w:w="35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bl>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NM: Not Meaningful</w:t>
      </w:r>
    </w:p>
    <w:p>
      <w:pPr>
        <w:sectPr>
          <w:pgSz w:w="11900" w:h="16838" w:orient="portrait"/>
          <w:cols w:equalWidth="0" w:num="1">
            <w:col w:w="11060"/>
          </w:cols>
          <w:pgMar w:left="400" w:top="1394" w:right="439" w:bottom="1440" w:gutter="0" w:footer="0" w:header="0"/>
        </w:sectPr>
      </w:pPr>
    </w:p>
    <w:bookmarkStart w:id="10" w:name="page11"/>
    <w:bookmarkEnd w:id="10"/>
    <w:p>
      <w:pPr>
        <w:ind w:left="4840"/>
        <w:spacing w:after="0"/>
        <w:rPr>
          <w:sz w:val="20"/>
          <w:szCs w:val="20"/>
          <w:color w:val="auto"/>
        </w:rPr>
      </w:pPr>
      <w:r>
        <w:rPr>
          <w:rFonts w:ascii="Times New Roman" w:cs="Times New Roman" w:eastAsia="Times New Roman" w:hAnsi="Times New Roman"/>
          <w:sz w:val="20"/>
          <w:szCs w:val="20"/>
          <w:b w:val="1"/>
          <w:bCs w:val="1"/>
          <w:color w:val="auto"/>
        </w:rPr>
        <w:t>BUZZFEED, INC.</w:t>
      </w:r>
    </w:p>
    <w:p>
      <w:pPr>
        <w:ind w:left="4420"/>
        <w:spacing w:after="0" w:line="197" w:lineRule="auto"/>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dollars and shares in thousands, except per share amounts)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6"/>
                <w:szCs w:val="16"/>
                <w:color w:val="auto"/>
              </w:rPr>
            </w:pP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38,648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35,637</w:t>
            </w:r>
          </w:p>
        </w:tc>
      </w:tr>
      <w:tr>
        <w:trPr>
          <w:trHeight w:val="204"/>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$1,039, and $1,424 as at December 31, 2024 and 2023, respectively)</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70,969</w:t>
            </w: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20,710</w:t>
            </w:r>
          </w:p>
        </w:tc>
      </w:tr>
      <w:tr>
        <w:trPr>
          <w:trHeight w:val="204"/>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Current assets of discontinued operations</w:t>
            </w:r>
          </w:p>
        </w:tc>
        <w:tc>
          <w:tcPr>
            <w:tcW w:w="20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5,473</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100,886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132,789</w:t>
            </w:r>
          </w:p>
        </w:tc>
      </w:tr>
      <w:tr>
        <w:trPr>
          <w:trHeight w:val="204"/>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11,856</w:t>
            </w: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Right-of-use assets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28,562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46,715</w:t>
            </w:r>
          </w:p>
        </w:tc>
      </w:tr>
      <w:tr>
        <w:trPr>
          <w:trHeight w:val="204"/>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Capitalized software costs, net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22,292</w:t>
            </w: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Intangible assets, net</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12,914</w:t>
            </w:r>
          </w:p>
        </w:tc>
      </w:tr>
      <w:tr>
        <w:trPr>
          <w:trHeight w:val="204"/>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43,304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43,304</w:t>
            </w: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9,508</w:t>
            </w:r>
          </w:p>
        </w:tc>
      </w:tr>
      <w:tr>
        <w:trPr>
          <w:trHeight w:val="204"/>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Noncurrent assets of discontinued operations</w:t>
            </w:r>
          </w:p>
        </w:tc>
        <w:tc>
          <w:tcPr>
            <w:tcW w:w="20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132,098</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5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221,398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411,476</w:t>
            </w:r>
          </w:p>
        </w:tc>
      </w:tr>
      <w:tr>
        <w:trPr>
          <w:trHeight w:val="23"/>
        </w:trPr>
        <w:tc>
          <w:tcPr>
            <w:tcW w:w="8180" w:type="dxa"/>
            <w:vAlign w:val="bottom"/>
            <w:tcBorders>
              <w:top w:val="single" w:sz="8" w:color="CCEEFF"/>
            </w:tcBorders>
          </w:tcPr>
          <w:p>
            <w:pPr>
              <w:spacing w:after="0"/>
              <w:rPr>
                <w:sz w:val="2"/>
                <w:szCs w:val="2"/>
                <w:color w:val="auto"/>
              </w:rPr>
            </w:pPr>
          </w:p>
        </w:tc>
        <w:tc>
          <w:tcPr>
            <w:tcW w:w="200" w:type="dxa"/>
            <w:vAlign w:val="bottom"/>
            <w:tcBorders>
              <w:top w:val="single" w:sz="8" w:color="CCEEFF"/>
              <w:bottom w:val="single" w:sz="8" w:color="auto"/>
            </w:tcBorders>
          </w:tcPr>
          <w:p>
            <w:pPr>
              <w:spacing w:after="0"/>
              <w:rPr>
                <w:sz w:val="2"/>
                <w:szCs w:val="2"/>
                <w:color w:val="auto"/>
              </w:rPr>
            </w:pPr>
          </w:p>
        </w:tc>
        <w:tc>
          <w:tcPr>
            <w:tcW w:w="128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00" w:type="dxa"/>
            <w:vAlign w:val="bottom"/>
            <w:tcBorders>
              <w:top w:val="single" w:sz="8" w:color="CCEEFF"/>
              <w:bottom w:val="single" w:sz="8" w:color="auto"/>
            </w:tcBorders>
          </w:tcPr>
          <w:p>
            <w:pPr>
              <w:spacing w:after="0"/>
              <w:rPr>
                <w:sz w:val="2"/>
                <w:szCs w:val="2"/>
                <w:color w:val="auto"/>
              </w:rPr>
            </w:pPr>
          </w:p>
        </w:tc>
        <w:tc>
          <w:tcPr>
            <w:tcW w:w="1280" w:type="dxa"/>
            <w:vAlign w:val="bottom"/>
            <w:tcBorders>
              <w:top w:val="single" w:sz="8" w:color="CCEEFF"/>
              <w:bottom w:val="single" w:sz="8" w:color="auto"/>
            </w:tcBorders>
          </w:tcPr>
          <w:p>
            <w:pPr>
              <w:spacing w:after="0"/>
              <w:rPr>
                <w:sz w:val="2"/>
                <w:szCs w:val="2"/>
                <w:color w:val="auto"/>
              </w:rPr>
            </w:pPr>
          </w:p>
        </w:tc>
      </w:tr>
      <w:tr>
        <w:trPr>
          <w:trHeight w:val="22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45,709</w:t>
            </w:r>
          </w:p>
        </w:tc>
      </w:tr>
      <w:tr>
        <w:trPr>
          <w:trHeight w:val="204"/>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15,515</w:t>
            </w: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w:t>
            </w:r>
          </w:p>
        </w:tc>
      </w:tr>
      <w:tr>
        <w:trPr>
          <w:trHeight w:val="204"/>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Accrued compensation</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12,225</w:t>
            </w: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Current lease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21,659</w:t>
            </w:r>
          </w:p>
        </w:tc>
      </w:tr>
      <w:tr>
        <w:trPr>
          <w:trHeight w:val="204"/>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Current debt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124,977</w:t>
            </w: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4,401</w:t>
            </w:r>
          </w:p>
        </w:tc>
      </w:tr>
      <w:tr>
        <w:trPr>
          <w:trHeight w:val="204"/>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liabilities of discontinued operations</w:t>
            </w:r>
          </w:p>
        </w:tc>
        <w:tc>
          <w:tcPr>
            <w:tcW w:w="20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1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96,836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227,795</w:t>
            </w:r>
          </w:p>
        </w:tc>
      </w:tr>
      <w:tr>
        <w:trPr>
          <w:trHeight w:val="204"/>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Noncurrent lease liabilities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37,820</w:t>
            </w: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33,837</w:t>
            </w:r>
          </w:p>
        </w:tc>
      </w:tr>
      <w:tr>
        <w:trPr>
          <w:trHeight w:val="204"/>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Warrant liabilities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r>
      <w:tr>
        <w:trPr>
          <w:trHeight w:val="204"/>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Noncurrent liabilities of discontinued operations</w:t>
            </w:r>
          </w:p>
        </w:tc>
        <w:tc>
          <w:tcPr>
            <w:tcW w:w="20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114,456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300,293</w:t>
            </w:r>
          </w:p>
        </w:tc>
      </w:tr>
      <w:tr>
        <w:trPr>
          <w:trHeight w:val="54"/>
        </w:trPr>
        <w:tc>
          <w:tcPr>
            <w:tcW w:w="8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54"/>
        </w:trPr>
        <w:tc>
          <w:tcPr>
            <w:tcW w:w="8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204"/>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Class A Common stock, $0.0001 par value; 700,000 shares authorized; 37,025 and 35,035 shares issued and outstanding at December 31,</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89"/>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2024 and 2023, respectively</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4"/>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Class B Common stock, $0.0001 par value; 20,000 shares authorized; 1,343 and 1,368 shares issued and outstanding at December 31, 2024 and</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8"/>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2023, respectively</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4"/>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730,369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723,092</w:t>
            </w:r>
          </w:p>
        </w:tc>
      </w:tr>
      <w:tr>
        <w:trPr>
          <w:trHeight w:val="39"/>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(621,864)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(611,768)</w:t>
            </w:r>
          </w:p>
        </w:tc>
      </w:tr>
      <w:tr>
        <w:trPr>
          <w:trHeight w:val="204"/>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BuzzFeed, Inc.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108,828</w:t>
            </w:r>
          </w:p>
        </w:tc>
      </w:tr>
      <w:tr>
        <w:trPr>
          <w:trHeight w:val="198"/>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2,355</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111,183</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221,398</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411,476</w:t>
            </w:r>
          </w:p>
        </w:tc>
      </w:tr>
      <w:tr>
        <w:trPr>
          <w:trHeight w:val="26"/>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1394" w:right="339" w:bottom="1440" w:gutter="0" w:footer="0" w:header="0"/>
        </w:sectPr>
      </w:pPr>
    </w:p>
    <w:bookmarkStart w:id="11" w:name="page12"/>
    <w:bookmarkEnd w:id="11"/>
    <w:p>
      <w:pPr>
        <w:ind w:left="4840"/>
        <w:spacing w:after="0"/>
        <w:rPr>
          <w:sz w:val="20"/>
          <w:szCs w:val="20"/>
          <w:color w:val="auto"/>
        </w:rPr>
      </w:pPr>
      <w:r>
        <w:rPr>
          <w:rFonts w:ascii="Times New Roman" w:cs="Times New Roman" w:eastAsia="Times New Roman" w:hAnsi="Times New Roman"/>
          <w:sz w:val="20"/>
          <w:szCs w:val="20"/>
          <w:b w:val="1"/>
          <w:bCs w:val="1"/>
          <w:color w:val="auto"/>
        </w:rPr>
        <w:t>BUZZFEED, INC.</w:t>
      </w:r>
    </w:p>
    <w:p>
      <w:pPr>
        <w:ind w:left="3980"/>
        <w:spacing w:after="0" w:line="237" w:lineRule="auto"/>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dollars and shares in thousands, except per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32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320" w:type="dxa"/>
            <w:vAlign w:val="bottom"/>
          </w:tcPr>
          <w:p>
            <w:pPr>
              <w:spacing w:after="0"/>
              <w:rPr>
                <w:sz w:val="16"/>
                <w:szCs w:val="16"/>
                <w:color w:val="auto"/>
              </w:rPr>
            </w:pPr>
          </w:p>
        </w:tc>
        <w:tc>
          <w:tcPr>
            <w:tcW w:w="2900" w:type="dxa"/>
            <w:vAlign w:val="bottom"/>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37"/>
        </w:trPr>
        <w:tc>
          <w:tcPr>
            <w:tcW w:w="47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99"/>
        </w:trPr>
        <w:tc>
          <w:tcPr>
            <w:tcW w:w="470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47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1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020" w:type="dxa"/>
            <w:vAlign w:val="bottom"/>
            <w:tcBorders>
              <w:bottom w:val="single" w:sz="8" w:color="CCEEFF"/>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56,195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70,071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189,887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230,441</w:t>
            </w:r>
          </w:p>
        </w:tc>
      </w:tr>
      <w:tr>
        <w:trPr>
          <w:trHeight w:val="206"/>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37"/>
        </w:trPr>
        <w:tc>
          <w:tcPr>
            <w:tcW w:w="4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3"/>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Cost of revenue, excluding depreciation and amortization</w:t>
            </w:r>
          </w:p>
        </w:tc>
        <w:tc>
          <w:tcPr>
            <w:tcW w:w="10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27,915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31,493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105,065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129,782</w:t>
            </w:r>
          </w:p>
        </w:tc>
      </w:tr>
      <w:tr>
        <w:trPr>
          <w:trHeight w:val="206"/>
        </w:trPr>
        <w:tc>
          <w:tcPr>
            <w:tcW w:w="4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Sales and marketing</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35,942</w:t>
            </w:r>
          </w:p>
        </w:tc>
      </w:tr>
      <w:tr>
        <w:trPr>
          <w:trHeight w:val="37"/>
        </w:trPr>
        <w:tc>
          <w:tcPr>
            <w:tcW w:w="4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3"/>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58,627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78,026</w:t>
            </w:r>
          </w:p>
        </w:tc>
      </w:tr>
      <w:tr>
        <w:trPr>
          <w:trHeight w:val="206"/>
        </w:trPr>
        <w:tc>
          <w:tcPr>
            <w:tcW w:w="4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11,179</w:t>
            </w:r>
          </w:p>
        </w:tc>
      </w:tr>
      <w:tr>
        <w:trPr>
          <w:trHeight w:val="37"/>
        </w:trPr>
        <w:tc>
          <w:tcPr>
            <w:tcW w:w="4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43"/>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20,333</w:t>
            </w:r>
          </w:p>
        </w:tc>
      </w:tr>
      <w:tr>
        <w:trPr>
          <w:trHeight w:val="199"/>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0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52,246</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63,979</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213,422</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275,262</w:t>
            </w:r>
          </w:p>
        </w:tc>
      </w:tr>
      <w:tr>
        <w:trPr>
          <w:trHeight w:val="37"/>
        </w:trPr>
        <w:tc>
          <w:tcPr>
            <w:tcW w:w="47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1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continuing operations</w:t>
            </w:r>
          </w:p>
        </w:tc>
        <w:tc>
          <w:tcPr>
            <w:tcW w:w="10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(44,821)</w:t>
            </w:r>
          </w:p>
        </w:tc>
      </w:tr>
      <w:tr>
        <w:trPr>
          <w:trHeight w:val="206"/>
        </w:trPr>
        <w:tc>
          <w:tcPr>
            <w:tcW w:w="4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(expense) income, net</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(2,990)</w:t>
            </w:r>
          </w:p>
        </w:tc>
      </w:tr>
      <w:tr>
        <w:trPr>
          <w:trHeight w:val="37"/>
        </w:trPr>
        <w:tc>
          <w:tcPr>
            <w:tcW w:w="4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3"/>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 net</w:t>
            </w:r>
          </w:p>
        </w:tc>
        <w:tc>
          <w:tcPr>
            <w:tcW w:w="10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(6,468)</w:t>
            </w:r>
          </w:p>
        </w:tc>
      </w:tr>
      <w:tr>
        <w:trPr>
          <w:trHeight w:val="206"/>
        </w:trPr>
        <w:tc>
          <w:tcPr>
            <w:tcW w:w="4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37"/>
        </w:trPr>
        <w:tc>
          <w:tcPr>
            <w:tcW w:w="4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43"/>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 in fair value of derivative liability</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r>
      <w:tr>
        <w:trPr>
          <w:trHeight w:val="199"/>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income from continuing operations before income taxes</w:t>
            </w:r>
          </w:p>
        </w:tc>
        <w:tc>
          <w:tcPr>
            <w:tcW w:w="10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(3,879)</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5,811</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(33,294)</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(54,110)</w:t>
            </w:r>
          </w:p>
        </w:tc>
      </w:tr>
      <w:tr>
        <w:trPr>
          <w:trHeight w:val="37"/>
        </w:trPr>
        <w:tc>
          <w:tcPr>
            <w:tcW w:w="4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43"/>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 (benefit) provision</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w:t>
            </w:r>
          </w:p>
        </w:tc>
      </w:tr>
      <w:tr>
        <w:trPr>
          <w:trHeight w:val="20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 from continuing operations</w:t>
            </w:r>
          </w:p>
        </w:tc>
        <w:tc>
          <w:tcPr>
            <w:tcW w:w="10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(3,768)</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4,374</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(33,956)</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(55,712)</w:t>
            </w:r>
          </w:p>
        </w:tc>
      </w:tr>
      <w:tr>
        <w:trPr>
          <w:trHeight w:val="37"/>
        </w:trPr>
        <w:tc>
          <w:tcPr>
            <w:tcW w:w="4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43"/>
        </w:trPr>
        <w:tc>
          <w:tcPr>
            <w:tcW w:w="4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 (loss) from discontinued operations, net of tax</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(33,610)</w:t>
            </w:r>
          </w:p>
        </w:tc>
      </w:tr>
      <w:tr>
        <w:trPr>
          <w:trHeight w:val="20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31,083</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(11,293)</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(9,928)</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(89,322)</w:t>
            </w:r>
          </w:p>
        </w:tc>
      </w:tr>
      <w:tr>
        <w:trPr>
          <w:trHeight w:val="37"/>
        </w:trPr>
        <w:tc>
          <w:tcPr>
            <w:tcW w:w="4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43"/>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Less: net income (loss) attributable to the noncontrolling interests</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r>
      <w:tr>
        <w:trPr>
          <w:trHeight w:val="232"/>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BuzzFeed, Inc.</w:t>
            </w:r>
          </w:p>
        </w:tc>
        <w:tc>
          <w:tcPr>
            <w:tcW w:w="1020" w:type="dxa"/>
            <w:vAlign w:val="bottom"/>
            <w:tcBorders>
              <w:top w:val="single" w:sz="8" w:color="auto"/>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31,034</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(11,020)</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(10,096)</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(88,579)</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8"/>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from continuing operations attributable to holders of Class A,</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and Class C common stock:</w:t>
            </w:r>
          </w:p>
        </w:tc>
        <w:tc>
          <w:tcPr>
            <w:tcW w:w="10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206"/>
        </w:trPr>
        <w:tc>
          <w:tcPr>
            <w:tcW w:w="4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Basic</w:t>
            </w:r>
          </w:p>
        </w:tc>
        <w:tc>
          <w:tcPr>
            <w:tcW w:w="102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(3,817)</w:t>
            </w:r>
          </w:p>
        </w:tc>
        <w:tc>
          <w:tcPr>
            <w:tcW w:w="100" w:type="dxa"/>
            <w:vAlign w:val="bottom"/>
          </w:tcPr>
          <w:p>
            <w:pPr>
              <w:spacing w:after="0"/>
              <w:rPr>
                <w:sz w:val="17"/>
                <w:szCs w:val="17"/>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4,647</w:t>
            </w:r>
          </w:p>
        </w:tc>
        <w:tc>
          <w:tcPr>
            <w:tcW w:w="10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(34,124)</w:t>
            </w:r>
          </w:p>
        </w:tc>
        <w:tc>
          <w:tcPr>
            <w:tcW w:w="100" w:type="dxa"/>
            <w:vAlign w:val="bottom"/>
          </w:tcPr>
          <w:p>
            <w:pPr>
              <w:spacing w:after="0"/>
              <w:rPr>
                <w:sz w:val="17"/>
                <w:szCs w:val="17"/>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(54,969)</w:t>
            </w:r>
          </w:p>
        </w:tc>
      </w:tr>
      <w:tr>
        <w:trPr>
          <w:trHeight w:val="37"/>
        </w:trPr>
        <w:tc>
          <w:tcPr>
            <w:tcW w:w="4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3"/>
        </w:trPr>
        <w:tc>
          <w:tcPr>
            <w:tcW w:w="4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Diluted</w:t>
            </w:r>
          </w:p>
        </w:tc>
        <w:tc>
          <w:tcPr>
            <w:tcW w:w="1020" w:type="dxa"/>
            <w:vAlign w:val="bottom"/>
            <w:tcBorders>
              <w:bottom w:val="single" w:sz="8" w:color="CCEEFF"/>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(54,969)</w:t>
            </w:r>
          </w:p>
        </w:tc>
      </w:tr>
      <w:tr>
        <w:trPr>
          <w:trHeight w:val="206"/>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 from continuing operations per Class A, Class B and Class C</w:t>
            </w: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89"/>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w:t>
            </w: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7"/>
        </w:trPr>
        <w:tc>
          <w:tcPr>
            <w:tcW w:w="4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3"/>
        </w:trPr>
        <w:tc>
          <w:tcPr>
            <w:tcW w:w="4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Basic</w:t>
            </w:r>
          </w:p>
        </w:tc>
        <w:tc>
          <w:tcPr>
            <w:tcW w:w="1020" w:type="dxa"/>
            <w:vAlign w:val="bottom"/>
            <w:tcBorders>
              <w:bottom w:val="single" w:sz="8" w:color="CCEEFF"/>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r>
      <w:tr>
        <w:trPr>
          <w:trHeight w:val="206"/>
        </w:trPr>
        <w:tc>
          <w:tcPr>
            <w:tcW w:w="4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Diluted</w:t>
            </w:r>
          </w:p>
        </w:tc>
        <w:tc>
          <w:tcPr>
            <w:tcW w:w="102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Pr>
          <w:p>
            <w:pPr>
              <w:spacing w:after="0"/>
              <w:rPr>
                <w:sz w:val="17"/>
                <w:szCs w:val="17"/>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0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(0.91)</w:t>
            </w:r>
          </w:p>
        </w:tc>
        <w:tc>
          <w:tcPr>
            <w:tcW w:w="100" w:type="dxa"/>
            <w:vAlign w:val="bottom"/>
          </w:tcPr>
          <w:p>
            <w:pPr>
              <w:spacing w:after="0"/>
              <w:rPr>
                <w:sz w:val="17"/>
                <w:szCs w:val="17"/>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r>
      <w:tr>
        <w:trPr>
          <w:trHeight w:val="37"/>
        </w:trPr>
        <w:tc>
          <w:tcPr>
            <w:tcW w:w="4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10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06"/>
        </w:trPr>
        <w:tc>
          <w:tcPr>
            <w:tcW w:w="4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Basic</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37,386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35,766</w:t>
            </w:r>
          </w:p>
        </w:tc>
      </w:tr>
      <w:tr>
        <w:trPr>
          <w:trHeight w:val="37"/>
        </w:trPr>
        <w:tc>
          <w:tcPr>
            <w:tcW w:w="4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06"/>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Diluted</w:t>
            </w: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36,453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37,386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35,766</w:t>
            </w:r>
          </w:p>
        </w:tc>
      </w:tr>
      <w:tr>
        <w:trPr>
          <w:trHeight w:val="37"/>
        </w:trPr>
        <w:tc>
          <w:tcPr>
            <w:tcW w:w="47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r>
    </w:tbl>
    <w:p>
      <w:pPr>
        <w:sectPr>
          <w:pgSz w:w="11900" w:h="16838" w:orient="portrait"/>
          <w:cols w:equalWidth="0" w:num="1">
            <w:col w:w="11240"/>
          </w:cols>
          <w:pgMar w:left="320" w:top="1422" w:right="339" w:bottom="1440" w:gutter="0" w:footer="0" w:header="0"/>
        </w:sectPr>
      </w:pPr>
    </w:p>
    <w:bookmarkStart w:id="12" w:name="page13"/>
    <w:bookmarkEnd w:id="12"/>
    <w:p>
      <w:pPr>
        <w:ind w:left="4760"/>
        <w:spacing w:after="0"/>
        <w:rPr>
          <w:sz w:val="20"/>
          <w:szCs w:val="20"/>
          <w:color w:val="auto"/>
        </w:rPr>
      </w:pPr>
      <w:r>
        <w:rPr>
          <w:rFonts w:ascii="Times New Roman" w:cs="Times New Roman" w:eastAsia="Times New Roman" w:hAnsi="Times New Roman"/>
          <w:sz w:val="20"/>
          <w:szCs w:val="20"/>
          <w:b w:val="1"/>
          <w:bCs w:val="1"/>
          <w:color w:val="auto"/>
        </w:rPr>
        <w:t>BUZZFEED, INC.</w:t>
      </w:r>
    </w:p>
    <w:p>
      <w:pPr>
        <w:ind w:left="3880"/>
        <w:spacing w:after="0" w:line="197" w:lineRule="auto"/>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(Unaudited, USD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40" w:type="dxa"/>
            <w:vAlign w:val="bottom"/>
            <w:gridSpan w:val="6"/>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60" w:type="dxa"/>
            <w:vAlign w:val="bottom"/>
          </w:tcPr>
          <w:p>
            <w:pPr>
              <w:spacing w:after="0"/>
              <w:rPr>
                <w:sz w:val="16"/>
                <w:szCs w:val="16"/>
                <w:color w:val="auto"/>
              </w:rPr>
            </w:pPr>
          </w:p>
        </w:tc>
      </w:tr>
      <w:tr>
        <w:trPr>
          <w:trHeight w:val="23"/>
        </w:trPr>
        <w:tc>
          <w:tcPr>
            <w:tcW w:w="6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6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6"/>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9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r>
      <w:tr>
        <w:trPr>
          <w:trHeight w:val="193"/>
        </w:trPr>
        <w:tc>
          <w:tcPr>
            <w:tcW w:w="6220" w:type="dxa"/>
            <w:vAlign w:val="bottom"/>
          </w:tcPr>
          <w:p>
            <w:pPr>
              <w:spacing w:after="0"/>
              <w:rPr>
                <w:sz w:val="20"/>
                <w:szCs w:val="20"/>
                <w:color w:val="auto"/>
              </w:rPr>
            </w:pPr>
            <w:r>
              <w:rPr>
                <w:rFonts w:ascii="Times New Roman" w:cs="Times New Roman" w:eastAsia="Times New Roman" w:hAnsi="Times New Roman"/>
                <w:sz w:val="14"/>
                <w:szCs w:val="14"/>
                <w:color w:val="231F20"/>
              </w:rPr>
              <w:t>Net loss</w:t>
            </w: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(9,928)</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(89,322)</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(201,326)</w:t>
            </w:r>
          </w:p>
        </w:tc>
      </w:tr>
      <w:tr>
        <w:trPr>
          <w:trHeight w:val="23"/>
        </w:trPr>
        <w:tc>
          <w:tcPr>
            <w:tcW w:w="6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231F20"/>
              </w:rPr>
              <w:t>Less: net (income) loss from discontinued operations, net of tax</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83,767</w:t>
            </w:r>
          </w:p>
        </w:tc>
      </w:tr>
      <w:tr>
        <w:trPr>
          <w:trHeight w:val="186"/>
        </w:trPr>
        <w:tc>
          <w:tcPr>
            <w:tcW w:w="6220" w:type="dxa"/>
            <w:vAlign w:val="bottom"/>
          </w:tcPr>
          <w:p>
            <w:pPr>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9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(33,956)</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(55,712)</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(117,559)</w:t>
            </w:r>
          </w:p>
        </w:tc>
      </w:tr>
      <w:tr>
        <w:trPr>
          <w:trHeight w:val="23"/>
        </w:trPr>
        <w:tc>
          <w:tcPr>
            <w:tcW w:w="6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6"/>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231F20"/>
              </w:rPr>
              <w:t>Adjustments to reconcile net loss from continuing operations to net cash used in operating activities:</w:t>
            </w:r>
          </w:p>
        </w:tc>
        <w:tc>
          <w:tcPr>
            <w:tcW w:w="9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r>
      <w:tr>
        <w:trPr>
          <w:trHeight w:val="193"/>
        </w:trPr>
        <w:tc>
          <w:tcPr>
            <w:tcW w:w="6220" w:type="dxa"/>
            <w:vAlign w:val="bottom"/>
          </w:tcPr>
          <w:p>
            <w:pPr>
              <w:ind w:left="80"/>
              <w:spacing w:after="0"/>
              <w:rPr>
                <w:sz w:val="20"/>
                <w:szCs w:val="20"/>
                <w:color w:val="auto"/>
              </w:rPr>
            </w:pPr>
            <w:r>
              <w:rPr>
                <w:rFonts w:ascii="Times New Roman" w:cs="Times New Roman" w:eastAsia="Times New Roman" w:hAnsi="Times New Roman"/>
                <w:sz w:val="14"/>
                <w:szCs w:val="14"/>
                <w:color w:val="231F20"/>
              </w:rPr>
              <w:t>Depreciation and amortization</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19,146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20,333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22,655</w:t>
            </w:r>
          </w:p>
        </w:tc>
      </w:tr>
      <w:tr>
        <w:trPr>
          <w:trHeight w:val="23"/>
        </w:trPr>
        <w:tc>
          <w:tcPr>
            <w:tcW w:w="6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6"/>
        </w:trPr>
        <w:tc>
          <w:tcPr>
            <w:tcW w:w="6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231F20"/>
              </w:rPr>
              <w:t>Unrealized (gain) loss on foreign currency</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(872)</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(1,088)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5,389</w:t>
            </w:r>
          </w:p>
        </w:tc>
      </w:tr>
      <w:tr>
        <w:trPr>
          <w:trHeight w:val="193"/>
        </w:trPr>
        <w:tc>
          <w:tcPr>
            <w:tcW w:w="6220" w:type="dxa"/>
            <w:vAlign w:val="bottom"/>
          </w:tcPr>
          <w:p>
            <w:pPr>
              <w:ind w:left="80"/>
              <w:spacing w:after="0"/>
              <w:rPr>
                <w:sz w:val="20"/>
                <w:szCs w:val="20"/>
                <w:color w:val="auto"/>
              </w:rPr>
            </w:pPr>
            <w:r>
              <w:rPr>
                <w:rFonts w:ascii="Times New Roman" w:cs="Times New Roman" w:eastAsia="Times New Roman" w:hAnsi="Times New Roman"/>
                <w:sz w:val="14"/>
                <w:szCs w:val="14"/>
                <w:color w:val="231F20"/>
              </w:rPr>
              <w:t>Stock based compensation</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5,282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18,580</w:t>
            </w:r>
          </w:p>
        </w:tc>
      </w:tr>
      <w:tr>
        <w:trPr>
          <w:trHeight w:val="23"/>
        </w:trPr>
        <w:tc>
          <w:tcPr>
            <w:tcW w:w="6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6"/>
        </w:trPr>
        <w:tc>
          <w:tcPr>
            <w:tcW w:w="6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231F20"/>
              </w:rPr>
              <w:t>Change in fair value of warrants</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(4,543)</w:t>
            </w:r>
          </w:p>
        </w:tc>
      </w:tr>
      <w:tr>
        <w:trPr>
          <w:trHeight w:val="193"/>
        </w:trPr>
        <w:tc>
          <w:tcPr>
            <w:tcW w:w="6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Change in fair value of derivative liability</w:t>
            </w:r>
          </w:p>
        </w:tc>
        <w:tc>
          <w:tcPr>
            <w:tcW w:w="9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(180)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(4,695)</w:t>
            </w:r>
          </w:p>
        </w:tc>
      </w:tr>
      <w:tr>
        <w:trPr>
          <w:trHeight w:val="23"/>
        </w:trPr>
        <w:tc>
          <w:tcPr>
            <w:tcW w:w="6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6"/>
        </w:trPr>
        <w:tc>
          <w:tcPr>
            <w:tcW w:w="6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Amortization of debt discount and deferred issuance costs</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1,766</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1,535</w:t>
            </w:r>
          </w:p>
        </w:tc>
      </w:tr>
      <w:tr>
        <w:trPr>
          <w:trHeight w:val="193"/>
        </w:trPr>
        <w:tc>
          <w:tcPr>
            <w:tcW w:w="6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Deferred income tax</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3,236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(1,594)</w:t>
            </w:r>
          </w:p>
        </w:tc>
      </w:tr>
      <w:tr>
        <w:trPr>
          <w:trHeight w:val="23"/>
        </w:trPr>
        <w:tc>
          <w:tcPr>
            <w:tcW w:w="6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6"/>
        </w:trPr>
        <w:tc>
          <w:tcPr>
            <w:tcW w:w="6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Gain on disposition of assets</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(175)</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(500)</w:t>
            </w:r>
          </w:p>
        </w:tc>
      </w:tr>
      <w:tr>
        <w:trPr>
          <w:trHeight w:val="193"/>
        </w:trPr>
        <w:tc>
          <w:tcPr>
            <w:tcW w:w="6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Loss (gain) on investment</w:t>
            </w:r>
          </w:p>
        </w:tc>
        <w:tc>
          <w:tcPr>
            <w:tcW w:w="9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3,500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(1,260)</w:t>
            </w:r>
          </w:p>
        </w:tc>
      </w:tr>
      <w:tr>
        <w:trPr>
          <w:trHeight w:val="23"/>
        </w:trPr>
        <w:tc>
          <w:tcPr>
            <w:tcW w:w="6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6"/>
        </w:trPr>
        <w:tc>
          <w:tcPr>
            <w:tcW w:w="6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(581)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785</w:t>
            </w:r>
          </w:p>
        </w:tc>
      </w:tr>
      <w:tr>
        <w:trPr>
          <w:trHeight w:val="193"/>
        </w:trPr>
        <w:tc>
          <w:tcPr>
            <w:tcW w:w="6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Impairment expense</w:t>
            </w:r>
          </w:p>
        </w:tc>
        <w:tc>
          <w:tcPr>
            <w:tcW w:w="9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50,546</w:t>
            </w:r>
          </w:p>
        </w:tc>
      </w:tr>
      <w:tr>
        <w:trPr>
          <w:trHeight w:val="23"/>
        </w:trPr>
        <w:tc>
          <w:tcPr>
            <w:tcW w:w="6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6"/>
        </w:trPr>
        <w:tc>
          <w:tcPr>
            <w:tcW w:w="6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Noncash lease expense</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20,017</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19,870</w:t>
            </w:r>
          </w:p>
        </w:tc>
      </w:tr>
      <w:tr>
        <w:trPr>
          <w:trHeight w:val="193"/>
        </w:trPr>
        <w:tc>
          <w:tcPr>
            <w:tcW w:w="6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6"/>
        </w:trPr>
        <w:tc>
          <w:tcPr>
            <w:tcW w:w="6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Accounts receivable</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25,816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40,568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27,462</w:t>
            </w:r>
          </w:p>
        </w:tc>
      </w:tr>
      <w:tr>
        <w:trPr>
          <w:trHeight w:val="193"/>
        </w:trPr>
        <w:tc>
          <w:tcPr>
            <w:tcW w:w="6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Prepaid expenses and other current assets and prepaid expenses and other assets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4,577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3,508</w:t>
            </w:r>
          </w:p>
        </w:tc>
      </w:tr>
      <w:tr>
        <w:trPr>
          <w:trHeight w:val="23"/>
        </w:trPr>
        <w:tc>
          <w:tcPr>
            <w:tcW w:w="6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6"/>
        </w:trPr>
        <w:tc>
          <w:tcPr>
            <w:tcW w:w="6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(30,464)</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19,149</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11,179</w:t>
            </w:r>
          </w:p>
        </w:tc>
      </w:tr>
      <w:tr>
        <w:trPr>
          <w:trHeight w:val="193"/>
        </w:trPr>
        <w:tc>
          <w:tcPr>
            <w:tcW w:w="6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compensation</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(18,257)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(5,440)</w:t>
            </w:r>
          </w:p>
        </w:tc>
      </w:tr>
      <w:tr>
        <w:trPr>
          <w:trHeight w:val="23"/>
        </w:trPr>
        <w:tc>
          <w:tcPr>
            <w:tcW w:w="6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6"/>
        </w:trPr>
        <w:tc>
          <w:tcPr>
            <w:tcW w:w="6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Accrued expenses, other current liabilities and other liabilities</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3,288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(12,619)</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(2,841)</w:t>
            </w:r>
          </w:p>
        </w:tc>
      </w:tr>
      <w:tr>
        <w:trPr>
          <w:trHeight w:val="193"/>
        </w:trPr>
        <w:tc>
          <w:tcPr>
            <w:tcW w:w="6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Lease liabilities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(22,222)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(23,421)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(23,249)</w:t>
            </w:r>
          </w:p>
        </w:tc>
      </w:tr>
      <w:tr>
        <w:trPr>
          <w:trHeight w:val="23"/>
        </w:trPr>
        <w:tc>
          <w:tcPr>
            <w:tcW w:w="6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6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Deferred revenue</w:t>
            </w: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(1,245)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(7,098)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7,154</w:t>
            </w:r>
          </w:p>
        </w:tc>
      </w:tr>
      <w:tr>
        <w:trPr>
          <w:trHeight w:val="186"/>
        </w:trPr>
        <w:tc>
          <w:tcPr>
            <w:tcW w:w="6220" w:type="dxa"/>
            <w:vAlign w:val="bottom"/>
          </w:tcPr>
          <w:p>
            <w:pPr>
              <w:spacing w:after="0"/>
              <w:rPr>
                <w:sz w:val="20"/>
                <w:szCs w:val="20"/>
                <w:color w:val="auto"/>
              </w:rPr>
            </w:pPr>
            <w:r>
              <w:rPr>
                <w:rFonts w:ascii="Times New Roman" w:cs="Times New Roman" w:eastAsia="Times New Roman" w:hAnsi="Times New Roman"/>
                <w:sz w:val="14"/>
                <w:szCs w:val="14"/>
                <w:color w:val="auto"/>
              </w:rPr>
              <w:t>Cash (used in) provided by operating activities from continuing operations</w:t>
            </w:r>
          </w:p>
        </w:tc>
        <w:tc>
          <w:tcPr>
            <w:tcW w:w="9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(5,686)</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(692)</w:t>
            </w: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6,982</w:t>
            </w:r>
          </w:p>
        </w:tc>
      </w:tr>
      <w:tr>
        <w:trPr>
          <w:trHeight w:val="23"/>
        </w:trPr>
        <w:tc>
          <w:tcPr>
            <w:tcW w:w="6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cash used in operating activities from discontinued operations</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(14,839)</w:t>
            </w:r>
          </w:p>
        </w:tc>
      </w:tr>
      <w:tr>
        <w:trPr>
          <w:trHeight w:val="186"/>
        </w:trPr>
        <w:tc>
          <w:tcPr>
            <w:tcW w:w="6220" w:type="dxa"/>
            <w:vAlign w:val="bottom"/>
          </w:tcPr>
          <w:p>
            <w:pPr>
              <w:spacing w:after="0"/>
              <w:rPr>
                <w:sz w:val="20"/>
                <w:szCs w:val="20"/>
                <w:color w:val="auto"/>
              </w:rPr>
            </w:pPr>
            <w:r>
              <w:rPr>
                <w:rFonts w:ascii="Times New Roman" w:cs="Times New Roman" w:eastAsia="Times New Roman" w:hAnsi="Times New Roman"/>
                <w:sz w:val="14"/>
                <w:szCs w:val="14"/>
                <w:color w:val="auto"/>
              </w:rPr>
              <w:t>Net cash flow used in operating activities</w:t>
            </w:r>
          </w:p>
        </w:tc>
        <w:tc>
          <w:tcPr>
            <w:tcW w:w="9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(20,679)</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(6,103)</w:t>
            </w: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(7,857)</w:t>
            </w:r>
          </w:p>
        </w:tc>
      </w:tr>
      <w:tr>
        <w:trPr>
          <w:trHeight w:val="63"/>
        </w:trPr>
        <w:tc>
          <w:tcPr>
            <w:tcW w:w="622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193"/>
        </w:trPr>
        <w:tc>
          <w:tcPr>
            <w:tcW w:w="62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98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1160" w:type="dxa"/>
            <w:vAlign w:val="bottom"/>
            <w:tcBorders>
              <w:top w:val="single" w:sz="8" w:color="CCEEFF"/>
            </w:tcBorders>
          </w:tcPr>
          <w:p>
            <w:pPr>
              <w:spacing w:after="0"/>
              <w:rPr>
                <w:sz w:val="16"/>
                <w:szCs w:val="16"/>
                <w:color w:val="auto"/>
              </w:rPr>
            </w:pPr>
          </w:p>
        </w:tc>
      </w:tr>
      <w:tr>
        <w:trPr>
          <w:trHeight w:val="23"/>
        </w:trPr>
        <w:tc>
          <w:tcPr>
            <w:tcW w:w="6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6"/>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231F20"/>
              </w:rPr>
              <w:t>Capital expenditures</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(964)</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(5,424)</w:t>
            </w:r>
          </w:p>
        </w:tc>
      </w:tr>
      <w:tr>
        <w:trPr>
          <w:trHeight w:val="193"/>
        </w:trPr>
        <w:tc>
          <w:tcPr>
            <w:tcW w:w="6220" w:type="dxa"/>
            <w:vAlign w:val="bottom"/>
          </w:tcPr>
          <w:p>
            <w:pPr>
              <w:spacing w:after="0"/>
              <w:rPr>
                <w:sz w:val="20"/>
                <w:szCs w:val="20"/>
                <w:color w:val="auto"/>
              </w:rPr>
            </w:pPr>
            <w:r>
              <w:rPr>
                <w:rFonts w:ascii="Times New Roman" w:cs="Times New Roman" w:eastAsia="Times New Roman" w:hAnsi="Times New Roman"/>
                <w:sz w:val="14"/>
                <w:szCs w:val="14"/>
                <w:color w:val="231F20"/>
              </w:rPr>
              <w:t>Capitalization of internal-use software</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(13,934)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(12,361)</w:t>
            </w:r>
          </w:p>
        </w:tc>
      </w:tr>
      <w:tr>
        <w:trPr>
          <w:trHeight w:val="23"/>
        </w:trPr>
        <w:tc>
          <w:tcPr>
            <w:tcW w:w="6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sale of asset</w:t>
            </w:r>
          </w:p>
        </w:tc>
        <w:tc>
          <w:tcPr>
            <w:tcW w:w="9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175</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500</w:t>
            </w:r>
          </w:p>
        </w:tc>
      </w:tr>
      <w:tr>
        <w:trPr>
          <w:trHeight w:val="200"/>
        </w:trPr>
        <w:tc>
          <w:tcPr>
            <w:tcW w:w="6220" w:type="dxa"/>
            <w:vAlign w:val="bottom"/>
          </w:tcPr>
          <w:p>
            <w:pPr>
              <w:spacing w:after="0"/>
              <w:rPr>
                <w:sz w:val="20"/>
                <w:szCs w:val="20"/>
                <w:color w:val="auto"/>
              </w:rPr>
            </w:pPr>
            <w:r>
              <w:rPr>
                <w:rFonts w:ascii="Times New Roman" w:cs="Times New Roman" w:eastAsia="Times New Roman" w:hAnsi="Times New Roman"/>
                <w:sz w:val="14"/>
                <w:szCs w:val="14"/>
                <w:color w:val="auto"/>
              </w:rPr>
              <w:t>Cash used in investing activities from continuing operations</w:t>
            </w: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(12,419)</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(14,723)</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(17,285)</w:t>
            </w:r>
          </w:p>
        </w:tc>
      </w:tr>
      <w:tr>
        <w:trPr>
          <w:trHeight w:val="37"/>
        </w:trPr>
        <w:tc>
          <w:tcPr>
            <w:tcW w:w="6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43"/>
        </w:trPr>
        <w:tc>
          <w:tcPr>
            <w:tcW w:w="6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provided by investing activities from discontinued operations</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6220" w:type="dxa"/>
            <w:vAlign w:val="bottom"/>
          </w:tcPr>
          <w:p>
            <w:pPr>
              <w:spacing w:after="0"/>
              <w:rPr>
                <w:sz w:val="20"/>
                <w:szCs w:val="20"/>
                <w:color w:val="auto"/>
              </w:rPr>
            </w:pPr>
            <w:r>
              <w:rPr>
                <w:rFonts w:ascii="Times New Roman" w:cs="Times New Roman" w:eastAsia="Times New Roman" w:hAnsi="Times New Roman"/>
                <w:sz w:val="14"/>
                <w:szCs w:val="14"/>
                <w:color w:val="auto"/>
              </w:rPr>
              <w:t>Cash provided by (used in) investing activities</w:t>
            </w:r>
          </w:p>
        </w:tc>
        <w:tc>
          <w:tcPr>
            <w:tcW w:w="9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178,656</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(14,723)</w:t>
            </w: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(17,285)</w:t>
            </w:r>
          </w:p>
        </w:tc>
      </w:tr>
      <w:tr>
        <w:trPr>
          <w:trHeight w:val="23"/>
        </w:trPr>
        <w:tc>
          <w:tcPr>
            <w:tcW w:w="6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4"/>
        </w:trPr>
        <w:tc>
          <w:tcPr>
            <w:tcW w:w="6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ectPr>
          <w:pgSz w:w="11900" w:h="16838" w:orient="portrait"/>
          <w:cols w:equalWidth="0" w:num="1">
            <w:col w:w="11100"/>
          </w:cols>
          <w:pgMar w:left="400" w:top="1394" w:right="399" w:bottom="1440" w:gutter="0" w:footer="0" w:header="0"/>
        </w:sectPr>
      </w:pPr>
    </w:p>
    <w:bookmarkStart w:id="13" w:name="page14"/>
    <w:bookmarkEnd w:id="13"/>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80" w:type="dxa"/>
            <w:vAlign w:val="bottom"/>
            <w:gridSpan w:val="6"/>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22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 for shares withheld for employee taxes</w:t>
            </w:r>
          </w:p>
        </w:tc>
        <w:tc>
          <w:tcPr>
            <w:tcW w:w="9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w:t>
            </w:r>
          </w:p>
        </w:tc>
        <w:tc>
          <w:tcPr>
            <w:tcW w:w="0" w:type="dxa"/>
            <w:vAlign w:val="bottom"/>
          </w:tcPr>
          <w:p>
            <w:pPr>
              <w:spacing w:after="0"/>
              <w:rPr>
                <w:sz w:val="1"/>
                <w:szCs w:val="1"/>
                <w:color w:val="auto"/>
              </w:rPr>
            </w:pPr>
          </w:p>
        </w:tc>
      </w:tr>
      <w:tr>
        <w:trPr>
          <w:trHeight w:val="193"/>
        </w:trPr>
        <w:tc>
          <w:tcPr>
            <w:tcW w:w="622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reverse recapitalization costs</w:t>
            </w:r>
          </w:p>
        </w:tc>
        <w:tc>
          <w:tcPr>
            <w:tcW w:w="9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(585)</w:t>
            </w:r>
          </w:p>
        </w:tc>
        <w:tc>
          <w:tcPr>
            <w:tcW w:w="0" w:type="dxa"/>
            <w:vAlign w:val="bottom"/>
          </w:tcPr>
          <w:p>
            <w:pPr>
              <w:spacing w:after="0"/>
              <w:rPr>
                <w:sz w:val="1"/>
                <w:szCs w:val="1"/>
                <w:color w:val="auto"/>
              </w:rPr>
            </w:pPr>
          </w:p>
        </w:tc>
      </w:tr>
      <w:tr>
        <w:trPr>
          <w:trHeight w:val="23"/>
        </w:trPr>
        <w:tc>
          <w:tcPr>
            <w:tcW w:w="6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9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0" w:type="dxa"/>
            <w:vAlign w:val="bottom"/>
          </w:tcPr>
          <w:p>
            <w:pPr>
              <w:spacing w:after="0"/>
              <w:rPr>
                <w:sz w:val="1"/>
                <w:szCs w:val="1"/>
                <w:color w:val="auto"/>
              </w:rPr>
            </w:pPr>
          </w:p>
        </w:tc>
      </w:tr>
      <w:tr>
        <w:trPr>
          <w:trHeight w:val="166"/>
        </w:trPr>
        <w:tc>
          <w:tcPr>
            <w:tcW w:w="622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the issuance of common stock in connection with at-the-market offering, net of issuance</w:t>
            </w: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220" w:type="dxa"/>
            <w:vAlign w:val="bottom"/>
          </w:tcPr>
          <w:p>
            <w:pPr>
              <w:spacing w:after="0"/>
              <w:rPr>
                <w:sz w:val="20"/>
                <w:szCs w:val="20"/>
                <w:color w:val="auto"/>
              </w:rPr>
            </w:pPr>
            <w:r>
              <w:rPr>
                <w:rFonts w:ascii="Times New Roman" w:cs="Times New Roman" w:eastAsia="Times New Roman" w:hAnsi="Times New Roman"/>
                <w:sz w:val="14"/>
                <w:szCs w:val="14"/>
                <w:color w:val="auto"/>
              </w:rPr>
              <w:t>costs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Borrowings on Revolving Credit Facility</w:t>
            </w:r>
          </w:p>
        </w:tc>
        <w:tc>
          <w:tcPr>
            <w:tcW w:w="9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193"/>
        </w:trPr>
        <w:tc>
          <w:tcPr>
            <w:tcW w:w="6220" w:type="dxa"/>
            <w:vAlign w:val="bottom"/>
          </w:tcPr>
          <w:p>
            <w:pPr>
              <w:spacing w:after="0"/>
              <w:rPr>
                <w:sz w:val="20"/>
                <w:szCs w:val="20"/>
                <w:color w:val="auto"/>
              </w:rPr>
            </w:pPr>
            <w:r>
              <w:rPr>
                <w:rFonts w:ascii="Times New Roman" w:cs="Times New Roman" w:eastAsia="Times New Roman" w:hAnsi="Times New Roman"/>
                <w:sz w:val="14"/>
                <w:szCs w:val="14"/>
                <w:color w:val="auto"/>
              </w:rPr>
              <w:t>Payments on Revolving Credit Facility</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(33,837)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 on Convertible Notes</w:t>
            </w:r>
          </w:p>
        </w:tc>
        <w:tc>
          <w:tcPr>
            <w:tcW w:w="9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(120,000)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4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93"/>
        </w:trPr>
        <w:tc>
          <w:tcPr>
            <w:tcW w:w="6220" w:type="dxa"/>
            <w:vAlign w:val="bottom"/>
          </w:tcPr>
          <w:p>
            <w:pPr>
              <w:spacing w:after="0"/>
              <w:rPr>
                <w:sz w:val="20"/>
                <w:szCs w:val="20"/>
                <w:color w:val="auto"/>
              </w:rPr>
            </w:pPr>
            <w:r>
              <w:rPr>
                <w:rFonts w:ascii="Times New Roman" w:cs="Times New Roman" w:eastAsia="Times New Roman" w:hAnsi="Times New Roman"/>
                <w:sz w:val="14"/>
                <w:szCs w:val="14"/>
                <w:color w:val="auto"/>
              </w:rPr>
              <w:t>Payment of early termination fee for Revolving Credit Facility</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23"/>
        </w:trPr>
        <w:tc>
          <w:tcPr>
            <w:tcW w:w="6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 of consent solicitation fee for Convertible Notes</w:t>
            </w: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(900)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4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86"/>
        </w:trPr>
        <w:tc>
          <w:tcPr>
            <w:tcW w:w="6220" w:type="dxa"/>
            <w:vAlign w:val="bottom"/>
          </w:tcPr>
          <w:p>
            <w:pPr>
              <w:spacing w:after="0"/>
              <w:rPr>
                <w:sz w:val="20"/>
                <w:szCs w:val="20"/>
                <w:color w:val="auto"/>
              </w:rPr>
            </w:pPr>
            <w:r>
              <w:rPr>
                <w:rFonts w:ascii="Times New Roman" w:cs="Times New Roman" w:eastAsia="Times New Roman" w:hAnsi="Times New Roman"/>
                <w:sz w:val="14"/>
                <w:szCs w:val="14"/>
                <w:color w:val="auto"/>
              </w:rPr>
              <w:t>Cash (used in) provided by financing activities</w:t>
            </w:r>
          </w:p>
        </w:tc>
        <w:tc>
          <w:tcPr>
            <w:tcW w:w="9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(154,600)</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812</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3,176</w:t>
            </w:r>
          </w:p>
        </w:tc>
        <w:tc>
          <w:tcPr>
            <w:tcW w:w="0" w:type="dxa"/>
            <w:vAlign w:val="bottom"/>
          </w:tcPr>
          <w:p>
            <w:pPr>
              <w:spacing w:after="0"/>
              <w:rPr>
                <w:sz w:val="1"/>
                <w:szCs w:val="1"/>
                <w:color w:val="auto"/>
              </w:rPr>
            </w:pPr>
          </w:p>
        </w:tc>
      </w:tr>
      <w:tr>
        <w:trPr>
          <w:trHeight w:val="23"/>
        </w:trPr>
        <w:tc>
          <w:tcPr>
            <w:tcW w:w="6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currency translation on cash and cash equivalents</w:t>
            </w: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(366)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(123)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(1,993)</w:t>
            </w:r>
          </w:p>
        </w:tc>
        <w:tc>
          <w:tcPr>
            <w:tcW w:w="0" w:type="dxa"/>
            <w:vAlign w:val="bottom"/>
          </w:tcPr>
          <w:p>
            <w:pPr>
              <w:spacing w:after="0"/>
              <w:rPr>
                <w:sz w:val="1"/>
                <w:szCs w:val="1"/>
                <w:color w:val="auto"/>
              </w:rPr>
            </w:pPr>
          </w:p>
        </w:tc>
      </w:tr>
      <w:tr>
        <w:trPr>
          <w:trHeight w:val="186"/>
        </w:trPr>
        <w:tc>
          <w:tcPr>
            <w:tcW w:w="622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9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3,011</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(20,137)</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(23,959)</w:t>
            </w:r>
          </w:p>
        </w:tc>
        <w:tc>
          <w:tcPr>
            <w:tcW w:w="0" w:type="dxa"/>
            <w:vAlign w:val="bottom"/>
          </w:tcPr>
          <w:p>
            <w:pPr>
              <w:spacing w:after="0"/>
              <w:rPr>
                <w:sz w:val="1"/>
                <w:szCs w:val="1"/>
                <w:color w:val="auto"/>
              </w:rPr>
            </w:pPr>
          </w:p>
        </w:tc>
      </w:tr>
      <w:tr>
        <w:trPr>
          <w:trHeight w:val="23"/>
        </w:trPr>
        <w:tc>
          <w:tcPr>
            <w:tcW w:w="6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35,637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55,774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79,733</w:t>
            </w:r>
          </w:p>
        </w:tc>
        <w:tc>
          <w:tcPr>
            <w:tcW w:w="0" w:type="dxa"/>
            <w:vAlign w:val="bottom"/>
          </w:tcPr>
          <w:p>
            <w:pPr>
              <w:spacing w:after="0"/>
              <w:rPr>
                <w:sz w:val="1"/>
                <w:szCs w:val="1"/>
                <w:color w:val="auto"/>
              </w:rPr>
            </w:pPr>
          </w:p>
        </w:tc>
      </w:tr>
      <w:tr>
        <w:trPr>
          <w:trHeight w:val="210"/>
        </w:trPr>
        <w:tc>
          <w:tcPr>
            <w:tcW w:w="622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940" w:type="dxa"/>
            <w:vAlign w:val="bottom"/>
            <w:tcBorders>
              <w:top w:val="single" w:sz="8" w:color="auto"/>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38,648</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35,637</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55,774</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400" w:top="1440" w:right="399" w:bottom="1440" w:gutter="0" w:footer="0" w:header="0"/>
        </w:sectPr>
      </w:pPr>
    </w:p>
    <w:bookmarkStart w:id="14" w:name="page15"/>
    <w:bookmarkEnd w:id="14"/>
    <w:p>
      <w:pPr>
        <w:ind w:left="4840"/>
        <w:spacing w:after="0"/>
        <w:rPr>
          <w:sz w:val="20"/>
          <w:szCs w:val="20"/>
          <w:color w:val="auto"/>
        </w:rPr>
      </w:pPr>
      <w:r>
        <w:rPr>
          <w:rFonts w:ascii="Times New Roman" w:cs="Times New Roman" w:eastAsia="Times New Roman" w:hAnsi="Times New Roman"/>
          <w:sz w:val="20"/>
          <w:szCs w:val="20"/>
          <w:b w:val="1"/>
          <w:bCs w:val="1"/>
          <w:color w:val="auto"/>
        </w:rPr>
        <w:t>BUZZFEED, INC.</w:t>
      </w:r>
    </w:p>
    <w:p>
      <w:pPr>
        <w:ind w:left="3980"/>
        <w:spacing w:after="0" w:line="197" w:lineRule="auto"/>
        <w:rPr>
          <w:sz w:val="20"/>
          <w:szCs w:val="20"/>
          <w:color w:val="auto"/>
        </w:rPr>
      </w:pPr>
      <w:r>
        <w:rPr>
          <w:rFonts w:ascii="Times New Roman" w:cs="Times New Roman" w:eastAsia="Times New Roman" w:hAnsi="Times New Roman"/>
          <w:sz w:val="20"/>
          <w:szCs w:val="20"/>
          <w:b w:val="1"/>
          <w:bCs w:val="1"/>
          <w:color w:val="auto"/>
        </w:rPr>
        <w:t>Reconciliation of GAAP to Non-GAAP</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USD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342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80" w:type="dxa"/>
            <w:vAlign w:val="bottom"/>
          </w:tcPr>
          <w:p>
            <w:pPr>
              <w:spacing w:after="0"/>
              <w:rPr>
                <w:sz w:val="16"/>
                <w:szCs w:val="16"/>
                <w:color w:val="auto"/>
              </w:rPr>
            </w:pPr>
          </w:p>
        </w:tc>
        <w:tc>
          <w:tcPr>
            <w:tcW w:w="2960" w:type="dxa"/>
            <w:vAlign w:val="bottom"/>
            <w:gridSpan w:val="4"/>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44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99"/>
        </w:trPr>
        <w:tc>
          <w:tcPr>
            <w:tcW w:w="4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44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16"/>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from continuing operations</w:t>
            </w:r>
          </w:p>
        </w:tc>
        <w:tc>
          <w:tcPr>
            <w:tcW w:w="1000" w:type="dxa"/>
            <w:vAlign w:val="bottom"/>
            <w:tcBorders>
              <w:bottom w:val="single" w:sz="8" w:color="CCEEFF"/>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(3,768)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4,374</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(33,956)</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(55,712)</w:t>
            </w:r>
          </w:p>
        </w:tc>
      </w:tr>
      <w:tr>
        <w:trPr>
          <w:trHeight w:val="206"/>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(benefit) provision</w:t>
            </w:r>
          </w:p>
        </w:tc>
        <w:tc>
          <w:tcPr>
            <w:tcW w:w="1000" w:type="dxa"/>
            <w:vAlign w:val="bottom"/>
          </w:tcPr>
          <w:p>
            <w:pPr>
              <w:spacing w:after="0"/>
              <w:rPr>
                <w:sz w:val="17"/>
                <w:szCs w:val="17"/>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1,437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1,602</w:t>
            </w:r>
          </w:p>
        </w:tc>
      </w:tr>
      <w:tr>
        <w:trPr>
          <w:trHeight w:val="37"/>
        </w:trPr>
        <w:tc>
          <w:tcPr>
            <w:tcW w:w="4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23"/>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10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1,595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1,766</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6,782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6,468</w:t>
            </w:r>
          </w:p>
        </w:tc>
      </w:tr>
      <w:tr>
        <w:trPr>
          <w:trHeight w:val="206"/>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 (income), net</w:t>
            </w:r>
          </w:p>
        </w:tc>
        <w:tc>
          <w:tcPr>
            <w:tcW w:w="1000" w:type="dxa"/>
            <w:vAlign w:val="bottom"/>
          </w:tcPr>
          <w:p>
            <w:pPr>
              <w:spacing w:after="0"/>
              <w:rPr>
                <w:sz w:val="17"/>
                <w:szCs w:val="17"/>
                <w:color w:val="auto"/>
              </w:rPr>
            </w:pP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5,443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(1,372)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1,605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2,990</w:t>
            </w:r>
          </w:p>
        </w:tc>
      </w:tr>
      <w:tr>
        <w:trPr>
          <w:trHeight w:val="37"/>
        </w:trPr>
        <w:tc>
          <w:tcPr>
            <w:tcW w:w="4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23"/>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4,597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5,143</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19,146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20,333</w:t>
            </w:r>
          </w:p>
        </w:tc>
      </w:tr>
      <w:tr>
        <w:trPr>
          <w:trHeight w:val="206"/>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tcPr>
          <w:p>
            <w:pPr>
              <w:spacing w:after="0"/>
              <w:rPr>
                <w:sz w:val="17"/>
                <w:szCs w:val="17"/>
                <w:color w:val="auto"/>
              </w:rPr>
            </w:pP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1,438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995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5,531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5,282</w:t>
            </w:r>
          </w:p>
        </w:tc>
      </w:tr>
      <w:tr>
        <w:trPr>
          <w:trHeight w:val="37"/>
        </w:trPr>
        <w:tc>
          <w:tcPr>
            <w:tcW w:w="4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23"/>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10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790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1,372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r>
      <w:tr>
        <w:trPr>
          <w:trHeight w:val="206"/>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derivative liability</w:t>
            </w:r>
          </w:p>
        </w:tc>
        <w:tc>
          <w:tcPr>
            <w:tcW w:w="1000" w:type="dxa"/>
            <w:vAlign w:val="bottom"/>
          </w:tcPr>
          <w:p>
            <w:pPr>
              <w:spacing w:after="0"/>
              <w:rPr>
                <w:sz w:val="17"/>
                <w:szCs w:val="17"/>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(180)</w:t>
            </w:r>
          </w:p>
        </w:tc>
      </w:tr>
      <w:tr>
        <w:trPr>
          <w:trHeight w:val="37"/>
        </w:trPr>
        <w:tc>
          <w:tcPr>
            <w:tcW w:w="4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w:t>
            </w:r>
            <w:r>
              <w:rPr>
                <w:rFonts w:ascii="Times New Roman" w:cs="Times New Roman" w:eastAsia="Times New Roman" w:hAnsi="Times New Roman"/>
                <w:sz w:val="18"/>
                <w:szCs w:val="18"/>
                <w:color w:val="auto"/>
                <w:vertAlign w:val="superscript"/>
              </w:rPr>
              <w:t>1</w:t>
            </w:r>
          </w:p>
        </w:tc>
        <w:tc>
          <w:tcPr>
            <w:tcW w:w="10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3,179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6,761</w:t>
            </w: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Transaction-related costs</w:t>
            </w:r>
            <w:r>
              <w:rPr>
                <w:rFonts w:ascii="Times New Roman" w:cs="Times New Roman" w:eastAsia="Times New Roman" w:hAnsi="Times New Roman"/>
                <w:sz w:val="18"/>
                <w:szCs w:val="18"/>
                <w:color w:val="auto"/>
                <w:vertAlign w:val="superscript"/>
              </w:rPr>
              <w:t>2</w:t>
            </w:r>
          </w:p>
        </w:tc>
        <w:tc>
          <w:tcPr>
            <w:tcW w:w="1000" w:type="dxa"/>
            <w:vAlign w:val="bottom"/>
          </w:tcPr>
          <w:p>
            <w:pPr>
              <w:spacing w:after="0"/>
              <w:rPr>
                <w:sz w:val="21"/>
                <w:szCs w:val="21"/>
                <w:color w:val="auto"/>
              </w:rPr>
            </w:pP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800</w:t>
            </w:r>
          </w:p>
        </w:tc>
      </w:tr>
      <w:tr>
        <w:trPr>
          <w:trHeight w:val="24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Litigation costs</w:t>
            </w:r>
            <w:r>
              <w:rPr>
                <w:rFonts w:ascii="Times New Roman" w:cs="Times New Roman" w:eastAsia="Times New Roman" w:hAnsi="Times New Roman"/>
                <w:sz w:val="18"/>
                <w:szCs w:val="18"/>
                <w:color w:val="auto"/>
                <w:vertAlign w:val="superscript"/>
              </w:rPr>
              <w:t>3</w:t>
            </w: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32"/>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000" w:type="dxa"/>
            <w:vAlign w:val="bottom"/>
            <w:tcBorders>
              <w:top w:val="single" w:sz="8" w:color="auto"/>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10,931</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13,030</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5,451</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(11,645)</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r>
              <w:rPr>
                <w:rFonts w:ascii="Times New Roman" w:cs="Times New Roman" w:eastAsia="Times New Roman" w:hAnsi="Times New Roman"/>
                <w:sz w:val="18"/>
                <w:szCs w:val="18"/>
                <w:color w:val="auto"/>
                <w:vertAlign w:val="superscript"/>
              </w:rPr>
              <w:t>4</w:t>
            </w: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18.6 %</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06"/>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 from continuing operations as a percentage of revenue</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368617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8617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80" w:firstLine="8"/>
        <w:spacing w:after="0" w:line="282"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exclude restructuring expenses from our non-GAAP measures because we believe they do not reflect expected future operating expenses, they are not indicative of our core operating performance, and they are not meaningful in comparison to our past operating performance.</w:t>
      </w:r>
    </w:p>
    <w:p>
      <w:pPr>
        <w:spacing w:after="0" w:line="134" w:lineRule="exact"/>
        <w:rPr>
          <w:rFonts w:ascii="Times New Roman" w:cs="Times New Roman" w:eastAsia="Times New Roman" w:hAnsi="Times New Roman"/>
          <w:sz w:val="18"/>
          <w:szCs w:val="18"/>
          <w:color w:val="auto"/>
        </w:rPr>
      </w:pPr>
    </w:p>
    <w:p>
      <w:pPr>
        <w:jc w:val="both"/>
        <w:ind w:right="240" w:firstLine="8"/>
        <w:spacing w:after="0" w:line="266"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transaction-related costs and other items which are either not representative of our underlying operations or are incremental costs that result from an actual or contemplated transaction and include professional fees, integration expenses, and certain costs related to integrating and converging IT systems.</w:t>
      </w:r>
    </w:p>
    <w:p>
      <w:pPr>
        <w:spacing w:after="0" w:line="135" w:lineRule="exact"/>
        <w:rPr>
          <w:rFonts w:ascii="Times New Roman" w:cs="Times New Roman" w:eastAsia="Times New Roman" w:hAnsi="Times New Roman"/>
          <w:sz w:val="18"/>
          <w:szCs w:val="18"/>
          <w:color w:val="auto"/>
        </w:rPr>
      </w:pPr>
    </w:p>
    <w:p>
      <w:pPr>
        <w:ind w:right="40" w:firstLine="8"/>
        <w:spacing w:after="0" w:line="282"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costs related to litigation that are outside the ordinary course of our business. We believe it is useful to exclude such charges because we do not consider such amounts to be part of the ongoing operations of our business and because of the singular nature of the claims underlying the matter.</w:t>
      </w:r>
    </w:p>
    <w:p>
      <w:pPr>
        <w:spacing w:after="0" w:line="121" w:lineRule="exact"/>
        <w:rPr>
          <w:rFonts w:ascii="Times New Roman" w:cs="Times New Roman" w:eastAsia="Times New Roman" w:hAnsi="Times New Roman"/>
          <w:sz w:val="18"/>
          <w:szCs w:val="18"/>
          <w:color w:val="auto"/>
        </w:rPr>
      </w:pPr>
    </w:p>
    <w:p>
      <w:pPr>
        <w:ind w:right="400" w:firstLine="8"/>
        <w:spacing w:after="0" w:line="282"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income from continuing operations as a percentage of revenue is included as the most comparable GAAP measure to Adjusted EBITDA margin, which is a Non-GAAP measure.</w:t>
      </w:r>
    </w:p>
    <w:sectPr>
      <w:pgSz w:w="11900" w:h="16838" w:orient="portrait"/>
      <w:cols w:equalWidth="0" w:num="1">
        <w:col w:w="11240"/>
      </w:cols>
      <w:pgMar w:left="320" w:top="13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
    <w:nsid w:val="216231B"/>
    <w:multiLevelType w:val="hybridMultilevel"/>
    <w:lvl w:ilvl="0">
      <w:lvlJc w:val="left"/>
      <w:lvlText w:val="●"/>
      <w:numFmt w:val="bullet"/>
      <w:start w:val="1"/>
    </w:lvl>
    <w:lvl w:ilvl="1">
      <w:lvlJc w:val="left"/>
      <w:lvlText w:val="○"/>
      <w:numFmt w:val="bullet"/>
      <w:start w:val="1"/>
    </w:lvl>
  </w:abstractNum>
  <w:abstractNum w:abstractNumId="8">
    <w:nsid w:val="1F16E9E8"/>
    <w:multiLevelType w:val="hybridMultilevel"/>
    <w:lvl w:ilvl="0">
      <w:lvlJc w:val="left"/>
      <w:lvlText w:val="3"/>
      <w:numFmt w:val="bullet"/>
      <w:start w:val="1"/>
    </w:lvl>
  </w:abstractNum>
  <w:abstractNum w:abstractNumId="9">
    <w:nsid w:val="1190CDE7"/>
    <w:multiLevelType w:val="hybridMultilevel"/>
    <w:lvl w:ilvl="0">
      <w:lvlJc w:val="left"/>
      <w:lvlText w:val="4"/>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2025-03-13T15:26:59Z</dcterms:created>
  <dcterms:modified xsi:type="dcterms:W3CDTF">2025-03-13T15:26:59Z</dcterms:modified>
</cp:coreProperties>
</file>