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556004.xml.htm"/>
      <w:bookmarkStart w:id="1" w:name="kswkform4_178855600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Rothstein Adam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BUZZFEED,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W. 23RD STREET, 6TH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BuzzFeed,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BZFD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970"/>
        <w:gridCol w:w="452"/>
        <w:gridCol w:w="614"/>
        <w:gridCol w:w="127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30,381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2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1,214,898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30,381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30,381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91,146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30,381 restricted stock units ("RSUs") fully vested on September 2, 2026 and were settled in shares of the Issuer's Class A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share of the Issuer's Class A common stock, subject to the Reporting Person's continued status as a service provider to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1/4 of the award vested on September 2, 2026. The remaining 91,146 RSUs vest ratably as to 1/4 of the total award of 121,527 RSUs on the 2nd of each December, March and June thereafter.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These RSUs do not expire; they either vest or are cancelled prior to the vesting date.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Fatima Santos as Attorney-in-Fact for Adam Rothstein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02273" TargetMode="External"/><Relationship Id="rId5" Type="http://schemas.openxmlformats.org/officeDocument/2006/relationships/hyperlink" Target="http://www.sec.gov/cgi-bin/browse-edgar?action=getcompany&amp;CIK=000182897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697</Words>
  <Characters>3675</Characters>
  <CharactersWithSpaces>4289</CharactersWithSpaces>
  <Paragraphs>111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