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877570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826135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8"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9"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23,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BuzzFeed,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0" w:lineRule="exact"/>
        <w:rPr>
          <w:sz w:val="24"/>
          <w:szCs w:val="24"/>
          <w:color w:val="auto"/>
        </w:rPr>
      </w:pPr>
    </w:p>
    <w:tbl>
      <w:tblPr>
        <w:tblLayout w:type="fixed"/>
        <w:tblInd w:w="940" w:type="dxa"/>
        <w:tblCellMar>
          <w:top w:w="0" w:type="dxa"/>
          <w:left w:w="0" w:type="dxa"/>
          <w:bottom w:w="0" w:type="dxa"/>
          <w:right w:w="0" w:type="dxa"/>
        </w:tblCellMar>
      </w:tblPr>
      <w:tr>
        <w:trPr>
          <w:trHeight w:val="238"/>
        </w:trPr>
        <w:tc>
          <w:tcPr>
            <w:tcW w:w="3120" w:type="dxa"/>
            <w:vAlign w:val="bottom"/>
          </w:tcPr>
          <w:p>
            <w:pPr>
              <w:jc w:val="center"/>
              <w:ind w:right="9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000004"/>
                <w:w w:val="99"/>
              </w:rPr>
              <w:t>001-39877</w:t>
            </w:r>
          </w:p>
        </w:tc>
        <w:tc>
          <w:tcPr>
            <w:tcW w:w="2820" w:type="dxa"/>
            <w:vAlign w:val="bottom"/>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rPr>
              <w:t>85-3022075</w:t>
            </w:r>
          </w:p>
        </w:tc>
      </w:tr>
      <w:tr>
        <w:trPr>
          <w:trHeight w:val="189"/>
        </w:trPr>
        <w:tc>
          <w:tcPr>
            <w:tcW w:w="3120" w:type="dxa"/>
            <w:vAlign w:val="bottom"/>
          </w:tcPr>
          <w:p>
            <w:pPr>
              <w:jc w:val="center"/>
              <w:ind w:right="950"/>
              <w:spacing w:after="0" w:line="189"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3080" w:type="dxa"/>
            <w:vAlign w:val="bottom"/>
          </w:tcPr>
          <w:p>
            <w:pPr>
              <w:jc w:val="center"/>
              <w:ind w:right="110"/>
              <w:spacing w:after="0" w:line="189" w:lineRule="exact"/>
              <w:rPr>
                <w:sz w:val="20"/>
                <w:szCs w:val="20"/>
                <w:color w:val="auto"/>
              </w:rPr>
            </w:pPr>
            <w:r>
              <w:rPr>
                <w:rFonts w:ascii="Times New Roman" w:cs="Times New Roman" w:eastAsia="Times New Roman" w:hAnsi="Times New Roman"/>
                <w:sz w:val="18"/>
                <w:szCs w:val="18"/>
                <w:color w:val="auto"/>
                <w:w w:val="98"/>
              </w:rPr>
              <w:t>(Commission</w:t>
            </w:r>
          </w:p>
        </w:tc>
        <w:tc>
          <w:tcPr>
            <w:tcW w:w="2820" w:type="dxa"/>
            <w:vAlign w:val="bottom"/>
          </w:tcPr>
          <w:p>
            <w:pPr>
              <w:jc w:val="center"/>
              <w:ind w:left="1010"/>
              <w:spacing w:after="0" w:line="189"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120" w:type="dxa"/>
            <w:vAlign w:val="bottom"/>
          </w:tcPr>
          <w:p>
            <w:pPr>
              <w:jc w:val="center"/>
              <w:ind w:right="85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30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File Number)</w:t>
            </w:r>
          </w:p>
        </w:tc>
        <w:tc>
          <w:tcPr>
            <w:tcW w:w="2820" w:type="dxa"/>
            <w:vAlign w:val="bottom"/>
          </w:tcPr>
          <w:p>
            <w:pPr>
              <w:jc w:val="center"/>
              <w:ind w:left="1070"/>
              <w:spacing w:after="0"/>
              <w:rPr>
                <w:sz w:val="20"/>
                <w:szCs w:val="20"/>
                <w:color w:val="auto"/>
              </w:rPr>
            </w:pPr>
            <w:r>
              <w:rPr>
                <w:rFonts w:ascii="Times New Roman" w:cs="Times New Roman" w:eastAsia="Times New Roman" w:hAnsi="Times New Roman"/>
                <w:sz w:val="18"/>
                <w:szCs w:val="18"/>
                <w:color w:val="auto"/>
                <w:w w:val="99"/>
              </w:rPr>
              <w:t>Identification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50 West 23</w:t>
      </w:r>
      <w:r>
        <w:rPr>
          <w:rFonts w:ascii="Times New Roman" w:cs="Times New Roman" w:eastAsia="Times New Roman" w:hAnsi="Times New Roman"/>
          <w:sz w:val="23"/>
          <w:szCs w:val="23"/>
          <w:b w:val="1"/>
          <w:bCs w:val="1"/>
          <w:color w:val="auto"/>
          <w:vertAlign w:val="superscript"/>
        </w:rPr>
        <w:t>rd</w:t>
      </w:r>
      <w:r>
        <w:rPr>
          <w:rFonts w:ascii="Times New Roman" w:cs="Times New Roman" w:eastAsia="Times New Roman" w:hAnsi="Times New Roman"/>
          <w:sz w:val="18"/>
          <w:szCs w:val="18"/>
          <w:b w:val="1"/>
          <w:bCs w:val="1"/>
          <w:color w:val="auto"/>
        </w:rPr>
        <w:t xml:space="preserve"> Street</w:t>
      </w: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New York 10010</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registrant’s principal executive offices, and zip code)</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(646) 397-2039</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8" w:lineRule="exact"/>
        <w:rPr>
          <w:sz w:val="24"/>
          <w:szCs w:val="24"/>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3"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55"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49"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 pursuant to Rule 14d-2(b) under the Exchange Act (17 CFR 240.14d-2(b))</w:t>
      </w:r>
    </w:p>
    <w:p>
      <w:pPr>
        <w:spacing w:after="0" w:line="49"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 pursuant to Rule 13e-4(c) under the Exchange Act (17 CFR 240.13e-4(c))</w:t>
      </w:r>
    </w:p>
    <w:p>
      <w:pPr>
        <w:spacing w:after="0" w:line="11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4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5"/>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w:t>
            </w:r>
          </w:p>
        </w:tc>
      </w:tr>
      <w:tr>
        <w:trPr>
          <w:trHeight w:val="255"/>
        </w:trPr>
        <w:tc>
          <w:tcPr>
            <w:tcW w:w="4900" w:type="dxa"/>
            <w:vAlign w:val="bottom"/>
            <w:tcBorders>
              <w:bottom w:val="single" w:sz="8" w:color="auto"/>
            </w:tcBorders>
          </w:tcPr>
          <w:p>
            <w:pPr>
              <w:ind w:left="178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20" w:type="dxa"/>
            <w:vAlign w:val="bottom"/>
          </w:tcPr>
          <w:p>
            <w:pPr>
              <w:spacing w:after="0"/>
              <w:rPr>
                <w:sz w:val="22"/>
                <w:szCs w:val="22"/>
                <w:color w:val="auto"/>
              </w:rPr>
            </w:pPr>
          </w:p>
        </w:tc>
        <w:tc>
          <w:tcPr>
            <w:tcW w:w="2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Symbol(s)</w:t>
            </w:r>
          </w:p>
        </w:tc>
        <w:tc>
          <w:tcPr>
            <w:tcW w:w="220" w:type="dxa"/>
            <w:vAlign w:val="bottom"/>
          </w:tcPr>
          <w:p>
            <w:pPr>
              <w:spacing w:after="0"/>
              <w:rPr>
                <w:sz w:val="22"/>
                <w:szCs w:val="22"/>
                <w:color w:val="auto"/>
              </w:rPr>
            </w:pPr>
          </w:p>
        </w:tc>
        <w:tc>
          <w:tcPr>
            <w:tcW w:w="3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on which registered</w:t>
            </w:r>
          </w:p>
        </w:tc>
      </w:tr>
      <w:tr>
        <w:trPr>
          <w:trHeight w:val="243"/>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Class A Common Stock, $0.0001 par value per share</w:t>
            </w:r>
          </w:p>
        </w:tc>
        <w:tc>
          <w:tcPr>
            <w:tcW w:w="25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BZFD</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25"/>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Redeemable warrants, each whole warrant exercisable for one</w:t>
            </w:r>
          </w:p>
        </w:tc>
        <w:tc>
          <w:tcPr>
            <w:tcW w:w="2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BZFDW</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03"/>
        </w:trPr>
        <w:tc>
          <w:tcPr>
            <w:tcW w:w="512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8"/>
                <w:szCs w:val="18"/>
                <w:color w:val="auto"/>
              </w:rPr>
              <w:t>share of Class A Common Stock at an exercise price of</w:t>
            </w:r>
          </w:p>
        </w:tc>
        <w:tc>
          <w:tcPr>
            <w:tcW w:w="2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540" w:type="dxa"/>
            <w:vAlign w:val="bottom"/>
          </w:tcPr>
          <w:p>
            <w:pPr>
              <w:spacing w:after="0"/>
              <w:rPr>
                <w:sz w:val="17"/>
                <w:szCs w:val="17"/>
                <w:color w:val="auto"/>
              </w:rPr>
            </w:pPr>
          </w:p>
        </w:tc>
      </w:tr>
      <w:tr>
        <w:trPr>
          <w:trHeight w:val="234"/>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approximately $46.00 per share</w:t>
            </w:r>
          </w:p>
        </w:tc>
        <w:tc>
          <w:tcPr>
            <w:tcW w:w="2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540" w:type="dxa"/>
            <w:vAlign w:val="bottom"/>
          </w:tcPr>
          <w:p>
            <w:pPr>
              <w:spacing w:after="0"/>
              <w:rPr>
                <w:sz w:val="20"/>
                <w:szCs w:val="20"/>
                <w:color w:val="auto"/>
              </w:rPr>
            </w:pPr>
          </w:p>
        </w:tc>
      </w:tr>
    </w:tbl>
    <w:p>
      <w:pPr>
        <w:spacing w:after="0" w:line="10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 Securities Exchange Act of 1934.</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21"/>
          <w:szCs w:val="21"/>
          <w:b w:val="1"/>
          <w:bCs w:val="1"/>
          <w:color w:val="auto"/>
        </w:rPr>
        <w:t>x</w:t>
      </w:r>
    </w:p>
    <w:p>
      <w:pPr>
        <w:spacing w:after="0" w:line="7" w:lineRule="exact"/>
        <w:rPr>
          <w:sz w:val="20"/>
          <w:szCs w:val="20"/>
          <w:color w:val="auto"/>
        </w:rPr>
      </w:pPr>
    </w:p>
    <w:p>
      <w:pPr>
        <w:jc w:val="both"/>
        <w:spacing w:after="0" w:line="25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1862455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1086485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 Termination</w:t>
      </w:r>
    </w:p>
    <w:p>
      <w:pPr>
        <w:spacing w:after="0" w:line="25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June 23, 2026, BuzzFeed UK Limited, a wholly-owned subsidiary of BuzzFeed, Inc. (the “Company”) executed a lease termination agreement with its landlord for office space in London, England. Pursuant to the lease termination agreement, the lease was terminated effective June 23, 2026, rather than its scheduled termination date of October 2029. The Company paid the landlord an early termination fee, inclusive of VAT, of approximately £0.5 million (approximately $0.7 million), and waived an existing security deposit held with the landlord in the amount of approximately £1.3 million (approximately $1.7 million). As a result, the Company is released from its liabilities, covenants, and obligations past, present, and future under the lease, other than certain service charges that have yet to be billed.</w:t>
      </w:r>
    </w:p>
    <w:p>
      <w:pPr>
        <w:spacing w:after="0" w:line="21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entered into this early termination agreement as part of ongoing efforts to reduce operating expenses. The Company expects to yield savings over the original contractual term of the lease of approximately £2.2 million (approximately $2.9 million) with respect to rent payments, and approximately £1.4 million (approximately $1.8 million) with respect to operating expenses.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Repayment</w:t>
      </w:r>
    </w:p>
    <w:p>
      <w:pPr>
        <w:spacing w:after="0" w:line="25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previously disclosed, on May 7, 2026, the Company, BuzzFeed Media Enterprises, Inc., a wholly-owned subsidiary of the Company, and certain of the Company’s other domestic and Canadian subsidiaries as borrowers and guarantors, entered into Amendment No. 4 to the Credit Agreement (the “Fourth Amendment”) with the financial institutions party thereto as lenders (the “Lenders”) and Sound Point Agency LLC, as agent for the Lenders. The Fourth Amendment amended the Credit Agreement dated as of May 23, 2025 (as amended by that certain Amendment No. 1 to the Credit Agreement dated as of July 31, 2025, by that certain Amendment No. 2 to Credit Agreement dated as of August 25, 2025, by that certain Amendment No. 3 to Credit Agreement dated as of March 11, 2026, and by that certain Amendment No. 4 to Credit Agreement dated as of May 7, 2026, and as further amended, supplemented, or otherwise modified from time to time, the “Credit Agreement”).</w:t>
      </w:r>
    </w:p>
    <w:p>
      <w:pPr>
        <w:spacing w:after="0" w:line="21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Pursuant to the Credit Agreement, on June 26, 2026, the Company repaid $7.5 million aggregate principal amount of indebtedness outstanding under the Credit Agreement, using proceeds from cash collateral that was released from the termination of a letter of credit that was previously held in favor of our former landlord for our former corporate headquarters. As of June 26, 2026 and following the repayment, $25.0 million aggregate principal amount of indebtedness under the Credit Agreement remains outstanding.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25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disclosure contained in this Current Report contains forward-looking statements, including statements regarding the expected savings associated with the early lease termination. These forward-looking statements are based on the Company’s current expectations and inherently involve risks and uncertainties. Further information on potential factors that could affect the Company’s business and financial results are included in the Company’s Annual Report on Form 10-K for the year ended December 31, 2025, and Quarterly Report on Form 10-Q for the period ended March 31, 2026. We do not undertake any obligation to update or revise any forward-looking statements, whether as a result of new information, future events or otherwise, except as may be required under applicable securities laws.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1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i w:val="1"/>
                <w:iCs w:val="1"/>
                <w:color w:val="auto"/>
              </w:rPr>
              <w:t>Exhibits.</w:t>
            </w:r>
          </w:p>
        </w:tc>
        <w:tc>
          <w:tcPr>
            <w:tcW w:w="9100" w:type="dxa"/>
            <w:vAlign w:val="bottom"/>
          </w:tcPr>
          <w:p>
            <w:pPr>
              <w:spacing w:after="0"/>
              <w:rPr>
                <w:sz w:val="20"/>
                <w:szCs w:val="20"/>
                <w:color w:val="auto"/>
              </w:rPr>
            </w:pPr>
          </w:p>
        </w:tc>
      </w:tr>
      <w:tr>
        <w:trPr>
          <w:trHeight w:val="439"/>
        </w:trPr>
        <w:tc>
          <w:tcPr>
            <w:tcW w:w="21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9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43"/>
        </w:trPr>
        <w:tc>
          <w:tcPr>
            <w:tcW w:w="19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220" w:type="dxa"/>
            <w:vAlign w:val="bottom"/>
          </w:tcPr>
          <w:p>
            <w:pPr>
              <w:spacing w:after="0"/>
              <w:rPr>
                <w:sz w:val="21"/>
                <w:szCs w:val="21"/>
                <w:color w:val="auto"/>
              </w:rPr>
            </w:pPr>
          </w:p>
        </w:tc>
        <w:tc>
          <w:tcPr>
            <w:tcW w:w="91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203"/>
        </w:trPr>
        <w:tc>
          <w:tcPr>
            <w:tcW w:w="19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100" w:type="dxa"/>
            <w:vAlign w:val="bottom"/>
            <w:tcBorders>
              <w:bottom w:val="single" w:sz="8" w:color="auto"/>
            </w:tcBorders>
          </w:tcPr>
          <w:p>
            <w:pPr>
              <w:spacing w:after="0"/>
              <w:rPr>
                <w:sz w:val="17"/>
                <w:szCs w:val="17"/>
                <w:color w:val="auto"/>
              </w:rPr>
            </w:pPr>
          </w:p>
        </w:tc>
      </w:tr>
      <w:tr>
        <w:trPr>
          <w:trHeight w:val="1215"/>
        </w:trPr>
        <w:tc>
          <w:tcPr>
            <w:tcW w:w="19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7" w:lineRule="exact"/>
        <w:rPr>
          <w:sz w:val="20"/>
          <w:szCs w:val="20"/>
          <w:color w:val="auto"/>
        </w:rPr>
      </w:pPr>
    </w:p>
    <w:p>
      <w:pPr>
        <w:ind w:left="20"/>
        <w:spacing w:after="0"/>
        <w:tabs>
          <w:tab w:leader="none" w:pos="18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6/29/2026</w:t>
      </w:r>
    </w:p>
    <w:p>
      <w:pPr>
        <w:spacing w:after="0" w:line="46"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b w:val="1"/>
          <w:bCs w:val="1"/>
          <w:color w:val="auto"/>
        </w:rPr>
        <w:t>BuzzFeed, Inc.</w:t>
      </w:r>
    </w:p>
    <w:p>
      <w:pPr>
        <w:spacing w:after="0" w:line="310" w:lineRule="exact"/>
        <w:rPr>
          <w:sz w:val="20"/>
          <w:szCs w:val="20"/>
          <w:color w:val="auto"/>
        </w:rPr>
      </w:pPr>
    </w:p>
    <w:p>
      <w:pPr>
        <w:ind w:left="5460"/>
        <w:spacing w:after="0"/>
        <w:tabs>
          <w:tab w:leader="none" w:pos="7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Matthew Omer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26035</wp:posOffset>
            </wp:positionV>
            <wp:extent cx="26314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43"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8"/>
          <w:szCs w:val="18"/>
          <w:color w:val="auto"/>
        </w:rPr>
        <w:t>Name: Matthew Omer</w:t>
      </w:r>
    </w:p>
    <w:p>
      <w:pPr>
        <w:spacing w:after="0" w:line="50"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114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2026-06-29T15:28:26Z</dcterms:created>
  <dcterms:modified xsi:type="dcterms:W3CDTF">2026-06-29T15:28:26Z</dcterms:modified>
</cp:coreProperties>
</file>