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Karras Sydnie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60" w:type="dxa"/>
            <w:vAlign w:val="bottom"/>
            <w:tcBorders>
              <w:top w:val="single" w:sz="8" w:color="0000EE"/>
              <w:bottom w:val="single" w:sz="8" w:color="9A9A9A"/>
            </w:tcBorders>
          </w:tcPr>
          <w:p>
            <w:pPr>
              <w:spacing w:after="0"/>
              <w:rPr>
                <w:sz w:val="17"/>
                <w:szCs w:val="17"/>
                <w:color w:val="auto"/>
              </w:rPr>
            </w:pPr>
          </w:p>
        </w:tc>
        <w:tc>
          <w:tcPr>
            <w:tcW w:w="17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05/26/2026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BuzzFeed,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BZFD</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1160" w:type="dxa"/>
            <w:vAlign w:val="bottom"/>
          </w:tcPr>
          <w:p>
            <w:pPr>
              <w:ind w:left="240"/>
              <w:spacing w:after="0"/>
              <w:rPr>
                <w:sz w:val="20"/>
                <w:szCs w:val="20"/>
                <w:color w:val="auto"/>
              </w:rPr>
            </w:pPr>
            <w:r>
              <w:rPr>
                <w:rFonts w:ascii="Arial" w:cs="Arial" w:eastAsia="Arial" w:hAnsi="Arial"/>
                <w:sz w:val="15"/>
                <w:szCs w:val="15"/>
                <w:color w:val="auto"/>
              </w:rPr>
              <w:t>(First)</w:t>
            </w:r>
          </w:p>
        </w:tc>
        <w:tc>
          <w:tcPr>
            <w:tcW w:w="1120" w:type="dxa"/>
            <w:vAlign w:val="bottom"/>
          </w:tcPr>
          <w:p>
            <w:pPr>
              <w:ind w:left="12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19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BUZZFEED, INC.</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50 W. 23RD STREET, 6TH FLOOR</w:t>
            </w:r>
          </w:p>
        </w:tc>
        <w:tc>
          <w:tcPr>
            <w:tcW w:w="0" w:type="dxa"/>
            <w:vAlign w:val="bottom"/>
          </w:tcPr>
          <w:p>
            <w:pPr>
              <w:spacing w:after="0"/>
              <w:rPr>
                <w:sz w:val="1"/>
                <w:szCs w:val="1"/>
                <w:color w:val="auto"/>
              </w:rPr>
            </w:pPr>
          </w:p>
        </w:tc>
      </w:tr>
      <w:tr>
        <w:trPr>
          <w:trHeight w:val="177"/>
        </w:trPr>
        <w:tc>
          <w:tcPr>
            <w:tcW w:w="82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NEW</w:t>
            </w:r>
          </w:p>
        </w:tc>
        <w:tc>
          <w:tcPr>
            <w:tcW w:w="116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NY</w:t>
            </w:r>
          </w:p>
        </w:tc>
        <w:tc>
          <w:tcPr>
            <w:tcW w:w="112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0000FF"/>
              </w:rPr>
              <w:t>10010</w:t>
            </w:r>
          </w:p>
        </w:tc>
        <w:tc>
          <w:tcPr>
            <w:tcW w:w="0" w:type="dxa"/>
            <w:vAlign w:val="bottom"/>
          </w:tcPr>
          <w:p>
            <w:pPr>
              <w:spacing w:after="0"/>
              <w:rPr>
                <w:sz w:val="1"/>
                <w:szCs w:val="1"/>
                <w:color w:val="auto"/>
              </w:rPr>
            </w:pPr>
          </w:p>
        </w:tc>
      </w:tr>
      <w:tr>
        <w:trPr>
          <w:trHeight w:val="134"/>
        </w:trPr>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YORK</w:t>
            </w:r>
          </w:p>
        </w:tc>
        <w:tc>
          <w:tcPr>
            <w:tcW w:w="116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40" w:type="dxa"/>
            <w:vAlign w:val="bottom"/>
            <w:gridSpan w:val="2"/>
          </w:tcPr>
          <w:p>
            <w:pPr>
              <w:ind w:left="80"/>
              <w:spacing w:after="0"/>
              <w:rPr>
                <w:sz w:val="20"/>
                <w:szCs w:val="20"/>
                <w:color w:val="auto"/>
              </w:rPr>
            </w:pPr>
            <w:r>
              <w:rPr>
                <w:rFonts w:ascii="Arial" w:cs="Arial" w:eastAsia="Arial" w:hAnsi="Arial"/>
                <w:sz w:val="15"/>
                <w:szCs w:val="15"/>
                <w:b w:val="1"/>
                <w:bCs w:val="1"/>
                <w:color w:val="auto"/>
              </w:rPr>
              <w:t>4.</w:t>
            </w: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ind w:left="2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4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8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104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8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040" w:type="dxa"/>
            <w:vAlign w:val="bottom"/>
            <w:gridSpan w:val="4"/>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880" w:type="dxa"/>
            <w:vAlign w:val="bottom"/>
            <w:gridSpan w:val="2"/>
            <w:vMerge w:val="restart"/>
          </w:tcPr>
          <w:p>
            <w:pPr>
              <w:ind w:left="2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40" w:type="dxa"/>
            <w:vAlign w:val="bottom"/>
            <w:gridSpan w:val="4"/>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40" w:type="dxa"/>
            <w:vAlign w:val="bottom"/>
            <w:gridSpan w:val="4"/>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880" w:type="dxa"/>
            <w:vAlign w:val="bottom"/>
            <w:gridSpan w:val="2"/>
          </w:tcPr>
          <w:p>
            <w:pPr>
              <w:ind w:left="2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4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8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02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008000"/>
              </w:rPr>
              <w:t>Exhibit 24 - Power of Attorney. No securities are beneficially owned.</w:t>
            </w: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9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0000FF"/>
                <w:w w:val="96"/>
              </w:rPr>
              <w:t>/s/ Heather Flores-Ricks,</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8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0000FF"/>
              </w:rPr>
              <w:t>Attorney-in-Fact for</w:t>
            </w:r>
          </w:p>
        </w:tc>
        <w:tc>
          <w:tcPr>
            <w:tcW w:w="2380" w:type="dxa"/>
            <w:vAlign w:val="bottom"/>
            <w:gridSpan w:val="4"/>
          </w:tcPr>
          <w:p>
            <w:pPr>
              <w:jc w:val="right"/>
              <w:ind w:right="1280"/>
              <w:spacing w:after="0" w:line="220" w:lineRule="exact"/>
              <w:rPr>
                <w:sz w:val="20"/>
                <w:szCs w:val="20"/>
                <w:color w:val="auto"/>
              </w:rPr>
            </w:pPr>
            <w:r>
              <w:rPr>
                <w:rFonts w:ascii="Times New Roman" w:cs="Times New Roman" w:eastAsia="Times New Roman" w:hAnsi="Times New Roman"/>
                <w:sz w:val="20"/>
                <w:szCs w:val="20"/>
                <w:color w:val="0000FF"/>
              </w:rPr>
              <w:t>05/28/2026</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580" w:type="dxa"/>
            <w:vAlign w:val="bottom"/>
            <w:tcBorders>
              <w:top w:val="single" w:sz="8" w:color="auto"/>
            </w:tcBorders>
            <w:gridSpan w:val="3"/>
          </w:tcPr>
          <w:p>
            <w:pPr>
              <w:spacing w:after="0" w:line="220" w:lineRule="exact"/>
              <w:rPr>
                <w:sz w:val="20"/>
                <w:szCs w:val="20"/>
                <w:color w:val="auto"/>
              </w:rPr>
            </w:pPr>
            <w:r>
              <w:rPr>
                <w:rFonts w:ascii="Times New Roman" w:cs="Times New Roman" w:eastAsia="Times New Roman" w:hAnsi="Times New Roman"/>
                <w:sz w:val="20"/>
                <w:szCs w:val="20"/>
                <w:color w:val="0000FF"/>
              </w:rPr>
              <w:t>Sydnie Karras</w:t>
            </w:r>
          </w:p>
        </w:tc>
        <w:tc>
          <w:tcPr>
            <w:tcW w:w="40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LIMITED POWER OF ATTORNEY</w:t>
      </w:r>
    </w:p>
    <w:p>
      <w:pPr>
        <w:spacing w:after="0" w:line="239" w:lineRule="exact"/>
        <w:rPr>
          <w:sz w:val="20"/>
          <w:szCs w:val="20"/>
          <w:color w:val="auto"/>
        </w:rPr>
      </w:pPr>
    </w:p>
    <w:p>
      <w:pPr>
        <w:jc w:val="both"/>
        <w:ind w:firstLine="719"/>
        <w:spacing w:after="0" w:line="242" w:lineRule="auto"/>
        <w:rPr>
          <w:sz w:val="20"/>
          <w:szCs w:val="20"/>
          <w:color w:val="auto"/>
        </w:rPr>
      </w:pPr>
      <w:r>
        <w:rPr>
          <w:rFonts w:ascii="Times New Roman" w:cs="Times New Roman" w:eastAsia="Times New Roman" w:hAnsi="Times New Roman"/>
          <w:sz w:val="20"/>
          <w:szCs w:val="20"/>
          <w:color w:val="auto"/>
        </w:rPr>
        <w:t>The undersigned hereby constitutes and appoints Matthew Omer, David Arroyo, Heather Flores-Ricks, Zachary Harder, Ahmed Jeewa, and Fátima Santos, as long as they are providing services to BuzzFeed, Inc., a Delaware corporation (the “</w:t>
      </w:r>
      <w:r>
        <w:rPr>
          <w:rFonts w:ascii="Times New Roman" w:cs="Times New Roman" w:eastAsia="Times New Roman" w:hAnsi="Times New Roman"/>
          <w:sz w:val="20"/>
          <w:szCs w:val="20"/>
          <w:b w:val="1"/>
          <w:bCs w:val="1"/>
          <w:u w:val="single" w:color="auto"/>
          <w:color w:val="auto"/>
        </w:rPr>
        <w:t>Company</w:t>
      </w:r>
      <w:r>
        <w:rPr>
          <w:rFonts w:ascii="Times New Roman" w:cs="Times New Roman" w:eastAsia="Times New Roman" w:hAnsi="Times New Roman"/>
          <w:sz w:val="20"/>
          <w:szCs w:val="20"/>
          <w:color w:val="auto"/>
        </w:rPr>
        <w:t>”), or any of them acting singly, as the undersigned’s true and lawful attorney-in-fact to:</w:t>
      </w:r>
    </w:p>
    <w:p>
      <w:pPr>
        <w:spacing w:after="0" w:line="205" w:lineRule="exact"/>
        <w:rPr>
          <w:sz w:val="20"/>
          <w:szCs w:val="20"/>
          <w:color w:val="auto"/>
        </w:rPr>
      </w:pPr>
    </w:p>
    <w:p>
      <w:pPr>
        <w:jc w:val="both"/>
        <w:ind w:left="1420" w:right="20" w:hanging="425"/>
        <w:spacing w:after="0" w:line="231" w:lineRule="auto"/>
        <w:tabs>
          <w:tab w:leader="none" w:pos="14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the Company, Forms 3, 4 and 5 in accordance with Section 16(a) of the Securities Exchange Act of 1934, as amended (the “Exchange Act”), and the rules and regulations thereunder;</w:t>
      </w:r>
    </w:p>
    <w:p>
      <w:pPr>
        <w:spacing w:after="0" w:line="326" w:lineRule="exact"/>
        <w:rPr>
          <w:rFonts w:ascii="Times New Roman" w:cs="Times New Roman" w:eastAsia="Times New Roman" w:hAnsi="Times New Roman"/>
          <w:sz w:val="20"/>
          <w:szCs w:val="20"/>
          <w:color w:val="auto"/>
        </w:rPr>
      </w:pPr>
    </w:p>
    <w:p>
      <w:pPr>
        <w:jc w:val="both"/>
        <w:ind w:left="1420" w:right="20" w:hanging="425"/>
        <w:spacing w:after="0" w:line="271" w:lineRule="auto"/>
        <w:tabs>
          <w:tab w:leader="none" w:pos="14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that may be necessary or desirable to complete and execute any such Forms 3, 4 and 5, complete and execute any amendment or amendments thereto, and timely file such forms with the U.S. Securities and Exchange Commission (the “SEC”) and any stock exchange or similar authority, if required; and</w:t>
      </w:r>
    </w:p>
    <w:p>
      <w:pPr>
        <w:spacing w:after="0" w:line="341" w:lineRule="exact"/>
        <w:rPr>
          <w:rFonts w:ascii="Times New Roman" w:cs="Times New Roman" w:eastAsia="Times New Roman" w:hAnsi="Times New Roman"/>
          <w:sz w:val="20"/>
          <w:szCs w:val="20"/>
          <w:color w:val="auto"/>
        </w:rPr>
      </w:pPr>
    </w:p>
    <w:p>
      <w:pPr>
        <w:jc w:val="both"/>
        <w:ind w:left="1420" w:right="20" w:hanging="425"/>
        <w:spacing w:after="0" w:line="270" w:lineRule="auto"/>
        <w:tabs>
          <w:tab w:leader="none" w:pos="14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97" w:lineRule="exact"/>
        <w:rPr>
          <w:rFonts w:ascii="Times New Roman" w:cs="Times New Roman" w:eastAsia="Times New Roman" w:hAnsi="Times New Roman"/>
          <w:sz w:val="20"/>
          <w:szCs w:val="20"/>
          <w:color w:val="auto"/>
        </w:rPr>
      </w:pPr>
    </w:p>
    <w:p>
      <w:pPr>
        <w:jc w:val="both"/>
        <w:ind w:left="1420" w:right="20" w:hanging="425"/>
        <w:spacing w:after="0" w:line="266" w:lineRule="auto"/>
        <w:tabs>
          <w:tab w:leader="none" w:pos="14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 as account administrator and technical administrator on behalf of the undersigned in connection with the undersigned’s account on the EDGAR Next portal, with full power of substitution and revocation, to the same extent that the undersigned could do if personally present and acting, hereby ratifying and confirming all the said attorneys-in-fact, or any of them, acting singly, may lawfully do or cause to be done by virtue hereof including, but not limited to: add and remove individuals from the undersigned’s account, perform annual confirmation, delegate authority to file to other Central Index Keys (“CIKs”), generate or create custom CIK confirmation codes (CCCs), create user groups, manage the technical aspects of the undersigned’s connection to the EDGAR Application Programming Interfaces (APIs) on the undersigned’s behalf, including to generate and manage the undersigned’s API tokens; and</w:t>
      </w:r>
    </w:p>
    <w:p>
      <w:pPr>
        <w:spacing w:after="0" w:line="361" w:lineRule="exact"/>
        <w:rPr>
          <w:rFonts w:ascii="Times New Roman" w:cs="Times New Roman" w:eastAsia="Times New Roman" w:hAnsi="Times New Roman"/>
          <w:sz w:val="20"/>
          <w:szCs w:val="20"/>
          <w:color w:val="auto"/>
        </w:rPr>
      </w:pPr>
    </w:p>
    <w:p>
      <w:pPr>
        <w:jc w:val="both"/>
        <w:ind w:left="1420" w:right="20" w:hanging="425"/>
        <w:spacing w:after="0" w:line="270" w:lineRule="auto"/>
        <w:tabs>
          <w:tab w:leader="none" w:pos="14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and all actions necessary or appropriate to access, manage, maintain, or administer the undersigned’s account on the EDGAR Next portal of the SEC, including but not limited to establishing account credentials, resetting passwords, updating contact information, managing user roles or permissions, submitting or authorizing filings, and otherwise interacting with the EDGAR Next system as may be necessary to facilitate compliance with Section 16(a) of the Exchange Act and related obligations.</w:t>
      </w:r>
    </w:p>
    <w:p>
      <w:pPr>
        <w:spacing w:after="0" w:line="282" w:lineRule="exact"/>
        <w:rPr>
          <w:sz w:val="20"/>
          <w:szCs w:val="20"/>
          <w:color w:val="auto"/>
        </w:rPr>
      </w:pPr>
    </w:p>
    <w:p>
      <w:pPr>
        <w:jc w:val="both"/>
        <w:ind w:firstLine="720"/>
        <w:spacing w:after="0" w:line="228"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each such attorney-in-fact’s substitute or substitutes, shall lawfully do or cause to be done by virtue of this power of attorney and the rights and powers herein granted. The undersigned acknowledges that each of the foregoing attorneys-in-fact, in serving in such capacity at the request of the undersigned, is not assuming, nor is the Company assuming, any of the undersigned’s responsibilities to comply with Section 16 of the Exchange Act.</w:t>
      </w:r>
    </w:p>
    <w:p>
      <w:pPr>
        <w:spacing w:after="0" w:line="166" w:lineRule="exact"/>
        <w:rPr>
          <w:sz w:val="20"/>
          <w:szCs w:val="20"/>
          <w:color w:val="auto"/>
        </w:rPr>
      </w:pPr>
    </w:p>
    <w:p>
      <w:pPr>
        <w:jc w:val="both"/>
        <w:ind w:right="20" w:firstLine="720"/>
        <w:spacing w:after="0" w:line="23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ectPr>
          <w:pgSz w:w="11900" w:h="16838" w:orient="portrait"/>
          <w:cols w:equalWidth="0" w:num="1">
            <w:col w:w="10940"/>
          </w:cols>
          <w:pgMar w:left="480" w:top="104" w:right="47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20"/>
          <w:szCs w:val="20"/>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11</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of May, 2026</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By:_____/s/ Sydnie Karras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3302635</wp:posOffset>
            </wp:positionH>
            <wp:positionV relativeFrom="paragraph">
              <wp:posOffset>-8890</wp:posOffset>
            </wp:positionV>
            <wp:extent cx="103378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033780" cy="9525"/>
                    </a:xfrm>
                    <a:prstGeom prst="rect">
                      <a:avLst/>
                    </a:prstGeom>
                    <a:noFill/>
                  </pic:spPr>
                </pic:pic>
              </a:graphicData>
            </a:graphic>
          </wp:anchor>
        </w:drawing>
      </w:r>
    </w:p>
    <w:p>
      <w:pPr>
        <w:ind w:left="4420"/>
        <w:spacing w:after="0"/>
        <w:tabs>
          <w:tab w:leader="none" w:pos="5120" w:val="left"/>
        </w:tabs>
        <w:rPr>
          <w:sz w:val="20"/>
          <w:szCs w:val="20"/>
          <w:color w:val="auto"/>
        </w:rPr>
      </w:pPr>
      <w:r>
        <w:rPr>
          <w:rFonts w:ascii="Times New Roman" w:cs="Times New Roman" w:eastAsia="Times New Roman" w:hAnsi="Times New Roman"/>
          <w:sz w:val="20"/>
          <w:szCs w:val="20"/>
          <w:color w:val="auto"/>
        </w:rPr>
        <w:t>Name:</w:t>
        <w:tab/>
        <w:t>Sydnie Karras</w:t>
      </w:r>
    </w:p>
    <w:sectPr>
      <w:pgSz w:w="11900" w:h="16838" w:orient="portrait"/>
      <w:cols w:equalWidth="0" w:num="1">
        <w:col w:w="10220"/>
      </w:cols>
      <w:pgMar w:left="1200" w:top="10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2135506" TargetMode="External"/><Relationship Id="rId11" Type="http://schemas.openxmlformats.org/officeDocument/2006/relationships/hyperlink" Target="http://www.sec.gov/cgi-bin/browse-edgar?action=getcompany&amp;CIK=000182897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2026-05-28T18:50:47Z</dcterms:created>
  <dcterms:modified xsi:type="dcterms:W3CDTF">2026-05-28T18:50:47Z</dcterms:modified>
</cp:coreProperties>
</file>