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1"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5876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587629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Powell Rhonda</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BUZZFEED,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111 EAST 18TH STREET, 13TH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BuzzFeed,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BZFD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12/06/2021</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tbl>
      <w:tblPr>
        <w:tblLayout w:type="fixed"/>
        <w:tblInd w:w="203"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943"/>
        <w:spacing w:after="0"/>
        <w:rPr>
          <w:sz w:val="20"/>
          <w:szCs w:val="20"/>
          <w:color w:val="auto"/>
        </w:rPr>
      </w:pPr>
      <w:r>
        <w:rPr>
          <w:rFonts w:ascii="Times New Roman" w:cs="Times New Roman" w:eastAsia="Times New Roman" w:hAnsi="Times New Roman"/>
          <w:sz w:val="16"/>
          <w:szCs w:val="16"/>
          <w:color w:val="0000FF"/>
        </w:rPr>
        <w:t>Chief Legal Officer</w:t>
      </w:r>
    </w:p>
    <w:p>
      <w:pPr>
        <w:spacing w:after="0" w:line="376" w:lineRule="exact"/>
        <w:rPr>
          <w:sz w:val="24"/>
          <w:szCs w:val="24"/>
          <w:color w:val="auto"/>
        </w:rPr>
      </w:pPr>
    </w:p>
    <w:p>
      <w:pPr>
        <w:sectPr>
          <w:pgSz w:w="11900" w:h="16838" w:orient="portrait"/>
          <w:cols w:equalWidth="0" w:num="3">
            <w:col w:w="3180" w:space="720"/>
            <w:col w:w="3117" w:space="720"/>
            <w:col w:w="3343"/>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177"/>
              <w:spacing w:after="0" w:line="147" w:lineRule="exact"/>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tcPr>
          <w:p>
            <w:pPr>
              <w:ind w:left="28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20" w:type="dxa"/>
            <w:vAlign w:val="bottom"/>
            <w:gridSpan w:val="9"/>
            <w:vMerge w:val="restart"/>
          </w:tcPr>
          <w:p>
            <w:pPr>
              <w:ind w:left="4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10003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43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jc w:val="center"/>
              <w:ind w:righ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06/05/2022</w:t>
            </w:r>
          </w:p>
        </w:tc>
        <w:tc>
          <w:tcPr>
            <w:tcW w:w="6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6"/>
                <w:szCs w:val="16"/>
                <w:color w:val="0000FF"/>
                <w:w w:val="97"/>
              </w:rPr>
              <w:t>67,574</w:t>
            </w:r>
            <w:r>
              <w:rPr>
                <w:rFonts w:ascii="Times New Roman" w:cs="Times New Roman" w:eastAsia="Times New Roman" w:hAnsi="Times New Roman"/>
                <w:sz w:val="20"/>
                <w:szCs w:val="20"/>
                <w:color w:val="008000"/>
                <w:w w:val="97"/>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67,574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06/05/2022</w:t>
            </w:r>
          </w:p>
        </w:tc>
        <w:tc>
          <w:tcPr>
            <w:tcW w:w="6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99"/>
              <w:spacing w:after="0"/>
              <w:rPr>
                <w:sz w:val="20"/>
                <w:szCs w:val="20"/>
                <w:color w:val="auto"/>
              </w:rPr>
            </w:pPr>
            <w:r>
              <w:rPr>
                <w:rFonts w:ascii="Times New Roman" w:cs="Times New Roman" w:eastAsia="Times New Roman" w:hAnsi="Times New Roman"/>
                <w:sz w:val="16"/>
                <w:szCs w:val="16"/>
                <w:color w:val="0000FF"/>
                <w:w w:val="97"/>
              </w:rPr>
              <w:t>91,800</w:t>
            </w:r>
            <w:r>
              <w:rPr>
                <w:rFonts w:ascii="Times New Roman" w:cs="Times New Roman" w:eastAsia="Times New Roman" w:hAnsi="Times New Roman"/>
                <w:sz w:val="20"/>
                <w:szCs w:val="20"/>
                <w:color w:val="008000"/>
                <w:w w:val="97"/>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159,374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tcPr>
          <w:p>
            <w:pPr>
              <w:ind w:left="960"/>
              <w:spacing w:after="0"/>
              <w:rPr>
                <w:sz w:val="20"/>
                <w:szCs w:val="20"/>
                <w:color w:val="auto"/>
              </w:rPr>
            </w:pPr>
            <w:r>
              <w:rPr>
                <w:rFonts w:ascii="Times New Roman" w:cs="Times New Roman" w:eastAsia="Times New Roman" w:hAnsi="Times New Roman"/>
                <w:sz w:val="16"/>
                <w:szCs w:val="16"/>
                <w:color w:val="0000FF"/>
              </w:rPr>
              <w:t>06/05/2022</w:t>
            </w: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center"/>
              <w:ind w:right="244"/>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rPr>
              <w:t>57,460</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3.76</w:t>
            </w:r>
          </w:p>
        </w:tc>
        <w:tc>
          <w:tcPr>
            <w:tcW w:w="6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101,914</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52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19"/>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162,180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12/06/2021</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83"/>
              <w:spacing w:after="0" w:line="138" w:lineRule="exact"/>
              <w:rPr>
                <w:sz w:val="20"/>
                <w:szCs w:val="20"/>
                <w:color w:val="auto"/>
              </w:rPr>
            </w:pPr>
            <w:r>
              <w:rPr>
                <w:rFonts w:ascii="Times New Roman" w:cs="Times New Roman" w:eastAsia="Times New Roman" w:hAnsi="Times New Roman"/>
                <w:sz w:val="13"/>
                <w:szCs w:val="13"/>
                <w:color w:val="0000FF"/>
              </w:rPr>
              <w:t>162,180</w:t>
            </w:r>
          </w:p>
        </w:tc>
        <w:tc>
          <w:tcPr>
            <w:tcW w:w="440" w:type="dxa"/>
            <w:vAlign w:val="bottom"/>
          </w:tcPr>
          <w:p>
            <w:pPr>
              <w:spacing w:after="0"/>
              <w:rPr>
                <w:sz w:val="11"/>
                <w:szCs w:val="11"/>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ind w:right="57"/>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162,180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(2)</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97,920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05/12/2022</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103"/>
              <w:spacing w:after="0" w:line="138" w:lineRule="exact"/>
              <w:rPr>
                <w:sz w:val="20"/>
                <w:szCs w:val="20"/>
                <w:color w:val="auto"/>
              </w:rPr>
            </w:pPr>
            <w:r>
              <w:rPr>
                <w:rFonts w:ascii="Times New Roman" w:cs="Times New Roman" w:eastAsia="Times New Roman" w:hAnsi="Times New Roman"/>
                <w:sz w:val="13"/>
                <w:szCs w:val="13"/>
                <w:color w:val="0000FF"/>
              </w:rPr>
              <w:t>97,920</w:t>
            </w:r>
          </w:p>
        </w:tc>
        <w:tc>
          <w:tcPr>
            <w:tcW w:w="440" w:type="dxa"/>
            <w:vAlign w:val="bottom"/>
          </w:tcPr>
          <w:p>
            <w:pPr>
              <w:spacing w:after="0"/>
              <w:rPr>
                <w:sz w:val="11"/>
                <w:szCs w:val="11"/>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ind w:right="57"/>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97,920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6"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(3)</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jc w:val="center"/>
              <w:ind w:right="5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67,574</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06/05/2022</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11"/>
                <w:szCs w:val="11"/>
                <w:color w:val="auto"/>
              </w:rPr>
            </w:pPr>
          </w:p>
        </w:tc>
        <w:tc>
          <w:tcPr>
            <w:tcW w:w="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67,574</w:t>
            </w: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0" w:type="dxa"/>
            <w:vAlign w:val="bottom"/>
          </w:tcPr>
          <w:p>
            <w:pPr>
              <w:jc w:val="center"/>
              <w:ind w:right="57"/>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94,606</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91,800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06/05/2022</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20" w:type="dxa"/>
            <w:vAlign w:val="bottom"/>
          </w:tcPr>
          <w:p>
            <w:pPr>
              <w:spacing w:after="0"/>
              <w:rPr>
                <w:sz w:val="11"/>
                <w:szCs w:val="11"/>
                <w:color w:val="auto"/>
              </w:rPr>
            </w:pPr>
          </w:p>
        </w:tc>
        <w:tc>
          <w:tcPr>
            <w:tcW w:w="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91,800</w:t>
            </w: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0" w:type="dxa"/>
            <w:vAlign w:val="bottom"/>
          </w:tcPr>
          <w:p>
            <w:pPr>
              <w:jc w:val="center"/>
              <w:ind w:right="57"/>
              <w:spacing w:after="0" w:line="138"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rPr>
              <w:t>6,120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-2691130</wp:posOffset>
            </wp:positionV>
            <wp:extent cx="28575" cy="2696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968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These shares of Class A common stock reflect the settlement of restricted stock units of the Issuer ("RSUs") on June 5, 2022. Each RSU is convertible into a share of the Class A common stock on a 1-for-1 basis.</w:t>
      </w:r>
    </w:p>
    <w:p>
      <w:pPr>
        <w:spacing w:after="0" w:line="61" w:lineRule="exact"/>
        <w:rPr>
          <w:rFonts w:ascii="Times New Roman" w:cs="Times New Roman" w:eastAsia="Times New Roman" w:hAnsi="Times New Roman"/>
          <w:sz w:val="11"/>
          <w:szCs w:val="11"/>
          <w:color w:val="008000"/>
        </w:rPr>
      </w:pPr>
    </w:p>
    <w:p>
      <w:pPr>
        <w:ind w:left="40" w:right="140" w:hanging="2"/>
        <w:spacing w:after="0" w:line="284"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Represents RSUs of the Issuer received pursuant to a business combination (the "Business Combination") which was effectuated in accordance with the terms of an Agreement and Plan of Merger dated as of June 24, 2021 (the "Merger Agreement") among (i) the Issuer, (ii) wholly-owned subsidiaries of the Issuer and (iii) the company formerly known as Buzzfeed, Inc. ("Original BuzzFeed"). At the Effective Time (as defined in the Merger Agreement), the Reporting Person's RSUs previously awarded by Original BuzzFeed with respect to shares of its Class A Common Stock were exchanged for replacement RSU awards of the Issuer, of an equivalent economic value, with respect to the Issuer's Class A common stock. The RSUs were subject to a liquidity event condition, which was satisfied by the Business Combination.</w:t>
      </w:r>
    </w:p>
    <w:p>
      <w:pPr>
        <w:spacing w:after="0" w:line="2" w:lineRule="exact"/>
        <w:rPr>
          <w:rFonts w:ascii="Times New Roman" w:cs="Times New Roman" w:eastAsia="Times New Roman" w:hAnsi="Times New Roman"/>
          <w:sz w:val="11"/>
          <w:szCs w:val="11"/>
          <w:color w:val="008000"/>
        </w:rPr>
      </w:pPr>
    </w:p>
    <w:p>
      <w:pPr>
        <w:ind w:left="40" w:right="24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of the Issuer received pursuant to the Business Combination which was effectuated in accordance with the terms of the Merger Agreement. At the Effective Time, the Reporting Person's RSUs previously awarded by Original BuzzFeed with respect to shares of its Class A Common Stock were exchanged for replacement RSU awards of the Issuer, of an equivalent economic value, with respect to the Issuer's Class A common stock. The RSUs were subject to a liquidity event condition, which the board of directors of the Issuer waived on May 12, 2022.</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 subject to the Reporting Person's continued status as a service provider to the Issuer.</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service-vest on the following schedule: (a) one-third vest on January 1, 2022, and (b) the remaining two-thirds vest in eight equal installments on each quarterly anniversary thereafter.</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service-vest on the following schedule: (a) 25% vests on September 5, 2019 and (b) the remaining 75% vests in 36 equal installments each monthly anniversary thereafter.</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do not expire. They either vest or are cancelled prior to the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Rhonda Powell</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06/07/2022</w:t>
            </w: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6656" TargetMode="External"/><Relationship Id="rId13"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2022-06-07T16:12:22Z</dcterms:created>
  <dcterms:modified xsi:type="dcterms:W3CDTF">2022-06-07T16:12:22Z</dcterms:modified>
</cp:coreProperties>
</file>