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429801.xml.htm"/>
      <w:bookmarkStart w:id="1" w:name="kswkform4_17894298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Omer Matthew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W. 23RD STREET, 6TH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BuzzFeed,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BZFD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362,882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362,882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362,882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the Issuer's Class A common stock, subject to the Reporting Person's continued status as a service provider to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vest as follows: 1/3 vest one year from July 21, 2026 and in 8 equal quarterly installments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RSUs do not expire; they either vest or are cancelled prior to the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Heather Flores-Ricks, Attorney-in-Fact for Matthew Omer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9846" TargetMode="External"/><Relationship Id="rId5" Type="http://schemas.openxmlformats.org/officeDocument/2006/relationships/hyperlink" Target="http://www.sec.gov/cgi-bin/browse-edgar?action=getcompany&amp;CIK=00018289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647</Words>
  <Characters>3465</Characters>
  <CharactersWithSpaces>4038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