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26035</wp:posOffset>
            </wp:positionV>
            <wp:extent cx="6998335" cy="5843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584390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Nguyen Phuong Dao</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BUZZFEED,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111 EAST 18TH STREET, 13TH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BuzzFeed,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BZFD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05/12/2022</w:t>
      </w:r>
    </w:p>
    <w:p>
      <w:pPr>
        <w:spacing w:after="0" w:line="20" w:lineRule="exact"/>
        <w:rPr>
          <w:sz w:val="24"/>
          <w:szCs w:val="24"/>
          <w:color w:val="auto"/>
        </w:rPr>
      </w:pPr>
      <w:r>
        <w:rPr>
          <w:sz w:val="24"/>
          <w:szCs w:val="24"/>
          <w:color w:val="auto"/>
        </w:rPr>
        <w:br w:type="column"/>
      </w:r>
    </w:p>
    <w:p>
      <w:pPr>
        <w:ind w:left="-3" w:right="720" w:firstLine="3"/>
        <w:spacing w:after="0" w:line="270"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860" w:type="dxa"/>
            <w:vAlign w:val="bottom"/>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59"/>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5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860" w:type="dxa"/>
            <w:vAlign w:val="bottom"/>
          </w:tcPr>
          <w:p>
            <w:pPr>
              <w:ind w:left="10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110"/>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86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20" w:type="dxa"/>
            <w:vAlign w:val="bottom"/>
          </w:tcPr>
          <w:p>
            <w:pPr>
              <w:spacing w:after="0"/>
              <w:rPr>
                <w:sz w:val="20"/>
                <w:szCs w:val="20"/>
                <w:color w:val="auto"/>
              </w:rPr>
            </w:pPr>
          </w:p>
        </w:tc>
        <w:tc>
          <w:tcPr>
            <w:tcW w:w="1580" w:type="dxa"/>
            <w:vAlign w:val="bottom"/>
          </w:tcPr>
          <w:p>
            <w:pPr>
              <w:ind w:left="860"/>
              <w:spacing w:after="0"/>
              <w:rPr>
                <w:sz w:val="20"/>
                <w:szCs w:val="20"/>
                <w:color w:val="auto"/>
              </w:rPr>
            </w:pPr>
            <w:r>
              <w:rPr>
                <w:rFonts w:ascii="Times New Roman" w:cs="Times New Roman" w:eastAsia="Times New Roman" w:hAnsi="Times New Roman"/>
                <w:sz w:val="16"/>
                <w:szCs w:val="16"/>
                <w:color w:val="0000FF"/>
              </w:rPr>
              <w:t>Publisher</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86" w:lineRule="exact"/>
        <w:rPr>
          <w:sz w:val="24"/>
          <w:szCs w:val="24"/>
          <w:color w:val="auto"/>
        </w:rPr>
      </w:pPr>
    </w:p>
    <w:p>
      <w:pPr>
        <w:sectPr>
          <w:pgSz w:w="11900" w:h="16838" w:orient="portrait"/>
          <w:cols w:equalWidth="0" w:num="3">
            <w:col w:w="3180" w:space="720"/>
            <w:col w:w="3123" w:space="720"/>
            <w:col w:w="3337"/>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3720" w:type="dxa"/>
            <w:vAlign w:val="bottom"/>
            <w:gridSpan w:val="7"/>
            <w:vMerge w:val="restart"/>
          </w:tcPr>
          <w:p>
            <w:pPr>
              <w:jc w:val="center"/>
              <w:ind w:right="215"/>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6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10003</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0" w:type="dxa"/>
            <w:vAlign w:val="bottom"/>
            <w:gridSpan w:val="9"/>
          </w:tcPr>
          <w:p>
            <w:pPr>
              <w:ind w:left="4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jc w:val="center"/>
              <w:ind w:left="632"/>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jc w:val="center"/>
              <w:ind w:right="15"/>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06/05/2022</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281,520</w:t>
            </w:r>
            <w:r>
              <w:rPr>
                <w:rFonts w:ascii="Times New Roman" w:cs="Times New Roman" w:eastAsia="Times New Roman" w:hAnsi="Times New Roman"/>
                <w:sz w:val="20"/>
                <w:szCs w:val="20"/>
                <w:color w:val="008000"/>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281,520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0000FF"/>
              </w:rPr>
              <w:t>06/05/2022</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center"/>
              <w:ind w:right="264"/>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0000FF"/>
              </w:rPr>
              <w:t>65,343</w:t>
            </w:r>
          </w:p>
        </w:tc>
        <w:tc>
          <w:tcPr>
            <w:tcW w:w="20" w:type="dxa"/>
            <w:vAlign w:val="bottom"/>
          </w:tcPr>
          <w:p>
            <w:pPr>
              <w:spacing w:after="0"/>
              <w:rPr>
                <w:sz w:val="21"/>
                <w:szCs w:val="21"/>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1"/>
                <w:szCs w:val="21"/>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65,343</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0000FF"/>
              </w:rPr>
              <w:t>06/05/2022</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center"/>
              <w:ind w:right="264"/>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158,187</w:t>
            </w:r>
          </w:p>
        </w:tc>
        <w:tc>
          <w:tcPr>
            <w:tcW w:w="20" w:type="dxa"/>
            <w:vAlign w:val="bottom"/>
          </w:tcPr>
          <w:p>
            <w:pPr>
              <w:spacing w:after="0"/>
              <w:rPr>
                <w:sz w:val="21"/>
                <w:szCs w:val="21"/>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3.76</w:t>
            </w:r>
          </w:p>
        </w:tc>
        <w:tc>
          <w:tcPr>
            <w:tcW w:w="40" w:type="dxa"/>
            <w:vAlign w:val="bottom"/>
          </w:tcPr>
          <w:p>
            <w:pPr>
              <w:spacing w:after="0"/>
              <w:rPr>
                <w:sz w:val="21"/>
                <w:szCs w:val="21"/>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188,676</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660" w:type="dxa"/>
            <w:vAlign w:val="bottom"/>
            <w:tcBorders>
              <w:bottom w:val="single" w:sz="8" w:color="2C2C2C"/>
            </w:tcBorders>
            <w:gridSpan w:val="10"/>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2"/>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1"/>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4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281,520</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05/12/2022</w:t>
            </w:r>
          </w:p>
        </w:tc>
        <w:tc>
          <w:tcPr>
            <w:tcW w:w="1100" w:type="dxa"/>
            <w:vAlign w:val="bottom"/>
          </w:tcPr>
          <w:p>
            <w:pPr>
              <w:spacing w:after="0"/>
              <w:rPr>
                <w:sz w:val="11"/>
                <w:szCs w:val="11"/>
                <w:color w:val="auto"/>
              </w:rPr>
            </w:pPr>
          </w:p>
        </w:tc>
        <w:tc>
          <w:tcPr>
            <w:tcW w:w="800" w:type="dxa"/>
            <w:vAlign w:val="bottom"/>
            <w:gridSpan w:val="2"/>
          </w:tcPr>
          <w:p>
            <w:pPr>
              <w:jc w:val="center"/>
              <w:ind w:right="318"/>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jc w:val="right"/>
              <w:ind w:right="63"/>
              <w:spacing w:after="0" w:line="137" w:lineRule="exact"/>
              <w:rPr>
                <w:sz w:val="20"/>
                <w:szCs w:val="20"/>
                <w:color w:val="auto"/>
              </w:rPr>
            </w:pPr>
            <w:r>
              <w:rPr>
                <w:rFonts w:ascii="Times New Roman" w:cs="Times New Roman" w:eastAsia="Times New Roman" w:hAnsi="Times New Roman"/>
                <w:sz w:val="12"/>
                <w:szCs w:val="12"/>
                <w:color w:val="0000FF"/>
              </w:rPr>
              <w:t>281,520</w:t>
            </w:r>
          </w:p>
        </w:tc>
        <w:tc>
          <w:tcPr>
            <w:tcW w:w="480" w:type="dxa"/>
            <w:vAlign w:val="bottom"/>
          </w:tcPr>
          <w:p>
            <w:pPr>
              <w:spacing w:after="0"/>
              <w:rPr>
                <w:sz w:val="11"/>
                <w:szCs w:val="11"/>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2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281,520</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line="224"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20"/>
                <w:szCs w:val="20"/>
                <w:color w:val="008000"/>
                <w:vertAlign w:val="superscript"/>
              </w:rPr>
              <w:t>(2)</w:t>
            </w: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ind w:right="55"/>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76,500</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05/12/2022</w:t>
            </w:r>
          </w:p>
        </w:tc>
        <w:tc>
          <w:tcPr>
            <w:tcW w:w="1100" w:type="dxa"/>
            <w:vAlign w:val="bottom"/>
          </w:tcPr>
          <w:p>
            <w:pPr>
              <w:spacing w:after="0"/>
              <w:rPr>
                <w:sz w:val="11"/>
                <w:szCs w:val="11"/>
                <w:color w:val="auto"/>
              </w:rPr>
            </w:pPr>
          </w:p>
        </w:tc>
        <w:tc>
          <w:tcPr>
            <w:tcW w:w="800" w:type="dxa"/>
            <w:vAlign w:val="bottom"/>
            <w:gridSpan w:val="2"/>
          </w:tcPr>
          <w:p>
            <w:pPr>
              <w:jc w:val="center"/>
              <w:ind w:right="318"/>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jc w:val="right"/>
              <w:ind w:right="103"/>
              <w:spacing w:after="0" w:line="137" w:lineRule="exact"/>
              <w:rPr>
                <w:sz w:val="20"/>
                <w:szCs w:val="20"/>
                <w:color w:val="auto"/>
              </w:rPr>
            </w:pPr>
            <w:r>
              <w:rPr>
                <w:rFonts w:ascii="Times New Roman" w:cs="Times New Roman" w:eastAsia="Times New Roman" w:hAnsi="Times New Roman"/>
                <w:sz w:val="12"/>
                <w:szCs w:val="12"/>
                <w:color w:val="0000FF"/>
              </w:rPr>
              <w:t>76,500</w:t>
            </w:r>
          </w:p>
        </w:tc>
        <w:tc>
          <w:tcPr>
            <w:tcW w:w="480" w:type="dxa"/>
            <w:vAlign w:val="bottom"/>
          </w:tcPr>
          <w:p>
            <w:pPr>
              <w:spacing w:after="0"/>
              <w:rPr>
                <w:sz w:val="11"/>
                <w:szCs w:val="11"/>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2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76,500</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line="224"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20"/>
                <w:szCs w:val="20"/>
                <w:color w:val="008000"/>
                <w:vertAlign w:val="superscript"/>
              </w:rPr>
              <w:t>(2)</w:t>
            </w: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ind w:right="55"/>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281,520</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06/05/2022</w:t>
            </w:r>
          </w:p>
        </w:tc>
        <w:tc>
          <w:tcPr>
            <w:tcW w:w="1100" w:type="dxa"/>
            <w:vAlign w:val="bottom"/>
          </w:tcPr>
          <w:p>
            <w:pPr>
              <w:spacing w:after="0"/>
              <w:rPr>
                <w:sz w:val="11"/>
                <w:szCs w:val="11"/>
                <w:color w:val="auto"/>
              </w:rPr>
            </w:pPr>
          </w:p>
        </w:tc>
        <w:tc>
          <w:tcPr>
            <w:tcW w:w="800" w:type="dxa"/>
            <w:vAlign w:val="bottom"/>
            <w:gridSpan w:val="2"/>
          </w:tcPr>
          <w:p>
            <w:pPr>
              <w:jc w:val="center"/>
              <w:ind w:right="318"/>
              <w:spacing w:after="0" w:line="137" w:lineRule="exact"/>
              <w:rPr>
                <w:sz w:val="20"/>
                <w:szCs w:val="20"/>
                <w:color w:val="auto"/>
              </w:rPr>
            </w:pPr>
            <w:r>
              <w:rPr>
                <w:rFonts w:ascii="Times New Roman" w:cs="Times New Roman" w:eastAsia="Times New Roman" w:hAnsi="Times New Roman"/>
                <w:sz w:val="12"/>
                <w:szCs w:val="12"/>
                <w:color w:val="0000FF"/>
                <w:w w:val="93"/>
              </w:rPr>
              <w:t>M</w:t>
            </w:r>
          </w:p>
        </w:tc>
        <w:tc>
          <w:tcPr>
            <w:tcW w:w="58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0000FF"/>
              </w:rPr>
              <w:t>281,520</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2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tcPr>
          <w:p>
            <w:pPr>
              <w:jc w:val="center"/>
              <w:ind w:left="222"/>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1"/>
                <w:szCs w:val="11"/>
                <w:color w:val="auto"/>
              </w:rPr>
            </w:pP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65,343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0"/>
              <w:spacing w:after="0" w:line="137" w:lineRule="exact"/>
              <w:rPr>
                <w:sz w:val="20"/>
                <w:szCs w:val="20"/>
                <w:color w:val="auto"/>
              </w:rPr>
            </w:pPr>
            <w:r>
              <w:rPr>
                <w:rFonts w:ascii="Times New Roman" w:cs="Times New Roman" w:eastAsia="Times New Roman" w:hAnsi="Times New Roman"/>
                <w:sz w:val="12"/>
                <w:szCs w:val="12"/>
                <w:color w:val="0000FF"/>
              </w:rPr>
              <w:t>06/05/2022</w:t>
            </w:r>
          </w:p>
        </w:tc>
        <w:tc>
          <w:tcPr>
            <w:tcW w:w="1100" w:type="dxa"/>
            <w:vAlign w:val="bottom"/>
          </w:tcPr>
          <w:p>
            <w:pPr>
              <w:spacing w:after="0"/>
              <w:rPr>
                <w:sz w:val="11"/>
                <w:szCs w:val="11"/>
                <w:color w:val="auto"/>
              </w:rPr>
            </w:pPr>
          </w:p>
        </w:tc>
        <w:tc>
          <w:tcPr>
            <w:tcW w:w="800" w:type="dxa"/>
            <w:vAlign w:val="bottom"/>
            <w:gridSpan w:val="2"/>
          </w:tcPr>
          <w:p>
            <w:pPr>
              <w:jc w:val="center"/>
              <w:ind w:right="318"/>
              <w:spacing w:after="0" w:line="137" w:lineRule="exact"/>
              <w:rPr>
                <w:sz w:val="20"/>
                <w:szCs w:val="20"/>
                <w:color w:val="auto"/>
              </w:rPr>
            </w:pPr>
            <w:r>
              <w:rPr>
                <w:rFonts w:ascii="Times New Roman" w:cs="Times New Roman" w:eastAsia="Times New Roman" w:hAnsi="Times New Roman"/>
                <w:sz w:val="12"/>
                <w:szCs w:val="12"/>
                <w:color w:val="0000FF"/>
                <w:w w:val="93"/>
              </w:rPr>
              <w:t>M</w:t>
            </w:r>
          </w:p>
        </w:tc>
        <w:tc>
          <w:tcPr>
            <w:tcW w:w="580" w:type="dxa"/>
            <w:vAlign w:val="bottom"/>
          </w:tcPr>
          <w:p>
            <w:pPr>
              <w:spacing w:after="0"/>
              <w:rPr>
                <w:sz w:val="11"/>
                <w:szCs w:val="11"/>
                <w:color w:val="auto"/>
              </w:rPr>
            </w:pPr>
          </w:p>
        </w:tc>
        <w:tc>
          <w:tcPr>
            <w:tcW w:w="480" w:type="dxa"/>
            <w:vAlign w:val="bottom"/>
          </w:tcPr>
          <w:p>
            <w:pPr>
              <w:jc w:val="right"/>
              <w:ind w:right="40"/>
              <w:spacing w:after="0" w:line="137" w:lineRule="exact"/>
              <w:rPr>
                <w:sz w:val="20"/>
                <w:szCs w:val="20"/>
                <w:color w:val="auto"/>
              </w:rPr>
            </w:pPr>
            <w:r>
              <w:rPr>
                <w:rFonts w:ascii="Times New Roman" w:cs="Times New Roman" w:eastAsia="Times New Roman" w:hAnsi="Times New Roman"/>
                <w:sz w:val="12"/>
                <w:szCs w:val="12"/>
                <w:color w:val="0000FF"/>
              </w:rPr>
              <w:t>65,343</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2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6"/>
              </w:rPr>
              <w:t>11,157</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-2676525</wp:posOffset>
            </wp:positionV>
            <wp:extent cx="28575" cy="2681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816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300" w:hanging="3"/>
        <w:spacing w:after="0" w:line="260"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A common stock reflect the settlement of restricted stock units of the Issuer ("RSUs") on June 5, 2022. Each RSU is convertible into a share of the Issuer's Class A common stock on a 1-for-1 basis.</w:t>
      </w:r>
    </w:p>
    <w:p>
      <w:pPr>
        <w:spacing w:after="0" w:line="174" w:lineRule="exact"/>
        <w:rPr>
          <w:rFonts w:ascii="Times New Roman" w:cs="Times New Roman" w:eastAsia="Times New Roman" w:hAnsi="Times New Roman"/>
          <w:sz w:val="12"/>
          <w:szCs w:val="12"/>
          <w:color w:val="008000"/>
        </w:rPr>
      </w:pPr>
    </w:p>
    <w:p>
      <w:pPr>
        <w:jc w:val="both"/>
        <w:ind w:left="40" w:right="160" w:hanging="3"/>
        <w:spacing w:after="0" w:line="252"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of the Issuer received pursuant to a business combination (the "Business Combination") which was effectuated in accordance with the terms of an Agreement and Plan of Merger dated as of June 24, 2021 (the "Merger Agreement") among (i) the Issuer, (ii) wholly-owned subsidiaries of the Issuer and (iii) the company formerly known as Buzzfeed, Inc. ("Original BuzzFeed"). At the Effective Time (as defined in the Merger Agreement), the Reporting Person's RSUs previously awarded by Original BuzzFeed with respect to shares of its Class A Common Stock were exchanged for replacement RSU awards of the Issuer, of an equivalent economic value, with respect to the Issuer's Class A common stock. The RSUs were subject to a liquidity event condition, which the board of directors of the Issuer waived on May 12, 2022.</w:t>
      </w:r>
    </w:p>
    <w:p>
      <w:pPr>
        <w:spacing w:after="0" w:line="1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a contingent right to receive one share of the Issuer's Class A common stock, subject to the Reporting Person's continued status as a service provider to the Issuer.</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service-vest on the following schedule: (a) 25% vest on January 1, 2018 and (b) the remaining 75% vest in 36 equal installments on each monthly anniversary thereafter.</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RSUs do not expire. They either vest or are cancelled prior to the vesting date.</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service-vest on the following schedule: (a) 25% vest on January 1, 2020 and (b) the remaining 75% vest in 36 equal installments on each monthly anniversary thereafter.</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Rhonda Powell, as Attorney-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06/07/2022</w:t>
            </w:r>
          </w:p>
        </w:tc>
        <w:tc>
          <w:tcPr>
            <w:tcW w:w="0" w:type="dxa"/>
            <w:vAlign w:val="bottom"/>
          </w:tcPr>
          <w:p>
            <w:pPr>
              <w:spacing w:after="0"/>
              <w:rPr>
                <w:sz w:val="1"/>
                <w:szCs w:val="1"/>
                <w:color w:val="auto"/>
              </w:rPr>
            </w:pPr>
          </w:p>
        </w:tc>
      </w:tr>
      <w:tr>
        <w:trPr>
          <w:trHeight w:val="80"/>
        </w:trPr>
        <w:tc>
          <w:tcPr>
            <w:tcW w:w="2100" w:type="dxa"/>
            <w:vAlign w:val="bottom"/>
            <w:gridSpan w:val="2"/>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in-Fact for Phuong Dao Nguyen</w:t>
            </w:r>
          </w:p>
        </w:tc>
        <w:tc>
          <w:tcPr>
            <w:tcW w:w="40" w:type="dxa"/>
            <w:vAlign w:val="bottom"/>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100" w:type="dxa"/>
            <w:vAlign w:val="bottom"/>
            <w:tcBorders>
              <w:bottom w:val="single" w:sz="8" w:color="auto"/>
            </w:tcBorders>
            <w:gridSpan w:val="2"/>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6658" TargetMode="External"/><Relationship Id="rId13" Type="http://schemas.openxmlformats.org/officeDocument/2006/relationships/hyperlink" Target="http://www.sec.gov/cgi-bin/browse-edgar?action=getcompany&amp;CIK=0001828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2022-06-07T16:12:38Z</dcterms:created>
  <dcterms:modified xsi:type="dcterms:W3CDTF">2022-06-07T16:12:38Z</dcterms:modified>
</cp:coreProperties>
</file>