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jc w:val="center"/>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312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right="130"/>
              <w:spacing w:after="0"/>
              <w:rPr>
                <w:sz w:val="20"/>
                <w:szCs w:val="20"/>
                <w:color w:val="auto"/>
              </w:rPr>
            </w:pPr>
            <w:r>
              <w:rPr>
                <w:rFonts w:ascii="Arial" w:cs="Arial" w:eastAsia="Arial" w:hAnsi="Arial"/>
                <w:sz w:val="18"/>
                <w:szCs w:val="18"/>
                <w:b w:val="1"/>
                <w:bCs w:val="1"/>
                <w:color w:val="000004"/>
                <w:w w:val="90"/>
              </w:rPr>
              <w:t>001-39877</w:t>
            </w:r>
          </w:p>
        </w:tc>
        <w:tc>
          <w:tcPr>
            <w:tcW w:w="282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85-3022075</w:t>
            </w:r>
          </w:p>
        </w:tc>
      </w:tr>
      <w:tr>
        <w:trPr>
          <w:trHeight w:val="189"/>
        </w:trPr>
        <w:tc>
          <w:tcPr>
            <w:tcW w:w="3120" w:type="dxa"/>
            <w:vAlign w:val="bottom"/>
          </w:tcPr>
          <w:p>
            <w:pPr>
              <w:jc w:val="center"/>
              <w:ind w:right="950"/>
              <w:spacing w:after="0" w:line="189" w:lineRule="exact"/>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1"/>
              </w:rPr>
              <w:t>(Commission</w:t>
            </w:r>
          </w:p>
        </w:tc>
        <w:tc>
          <w:tcPr>
            <w:tcW w:w="2820" w:type="dxa"/>
            <w:vAlign w:val="bottom"/>
          </w:tcPr>
          <w:p>
            <w:pPr>
              <w:jc w:val="center"/>
              <w:ind w:left="10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right="85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right="70"/>
              <w:spacing w:after="0"/>
              <w:rPr>
                <w:sz w:val="20"/>
                <w:szCs w:val="20"/>
                <w:color w:val="auto"/>
              </w:rPr>
            </w:pPr>
            <w:r>
              <w:rPr>
                <w:rFonts w:ascii="Arial" w:cs="Arial" w:eastAsia="Arial" w:hAnsi="Arial"/>
                <w:sz w:val="18"/>
                <w:szCs w:val="18"/>
                <w:color w:val="auto"/>
                <w:w w:val="92"/>
              </w:rPr>
              <w:t>File Number)</w:t>
            </w:r>
          </w:p>
        </w:tc>
        <w:tc>
          <w:tcPr>
            <w:tcW w:w="2820" w:type="dxa"/>
            <w:vAlign w:val="bottom"/>
          </w:tcPr>
          <w:p>
            <w:pPr>
              <w:jc w:val="center"/>
              <w:ind w:left="1070"/>
              <w:spacing w:after="0"/>
              <w:rPr>
                <w:sz w:val="20"/>
                <w:szCs w:val="20"/>
                <w:color w:val="auto"/>
              </w:rPr>
            </w:pPr>
            <w:r>
              <w:rPr>
                <w:rFonts w:ascii="Arial" w:cs="Arial" w:eastAsia="Arial" w:hAnsi="Arial"/>
                <w:sz w:val="18"/>
                <w:szCs w:val="18"/>
                <w:color w:val="auto"/>
                <w:w w:val="94"/>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229 West 43</w:t>
      </w:r>
      <w:r>
        <w:rPr>
          <w:rFonts w:ascii="Arial" w:cs="Arial" w:eastAsia="Arial" w:hAnsi="Arial"/>
          <w:sz w:val="23"/>
          <w:szCs w:val="23"/>
          <w:b w:val="1"/>
          <w:bCs w:val="1"/>
          <w:color w:val="auto"/>
          <w:vertAlign w:val="superscript"/>
        </w:rPr>
        <w:t>rd</w:t>
      </w:r>
      <w:r>
        <w:rPr>
          <w:rFonts w:ascii="Arial" w:cs="Arial" w:eastAsia="Arial" w:hAnsi="Arial"/>
          <w:sz w:val="18"/>
          <w:szCs w:val="18"/>
          <w:b w:val="1"/>
          <w:bCs w:val="1"/>
          <w:color w:val="auto"/>
        </w:rPr>
        <w:t xml:space="preserve"> Street</w:t>
      </w: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registrant’s principal executive offices, and zip code)</w:t>
      </w:r>
    </w:p>
    <w:p>
      <w:pPr>
        <w:jc w:val="center"/>
        <w:spacing w:after="0" w:line="234" w:lineRule="auto"/>
        <w:rPr>
          <w:sz w:val="20"/>
          <w:szCs w:val="20"/>
          <w:color w:val="auto"/>
        </w:rPr>
      </w:pPr>
      <w:r>
        <w:rPr>
          <w:rFonts w:ascii="Arial" w:cs="Arial" w:eastAsia="Arial" w:hAnsi="Arial"/>
          <w:sz w:val="18"/>
          <w:szCs w:val="18"/>
          <w:b w:val="1"/>
          <w:bCs w:val="1"/>
          <w:color w:val="auto"/>
        </w:rPr>
        <w:t>(646) 589-8592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51"/>
        </w:trPr>
        <w:tc>
          <w:tcPr>
            <w:tcW w:w="498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1"/>
                <w:szCs w:val="21"/>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10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on which registered</w:t>
            </w: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Class A Common Stock, $0.0001 par value per share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BZFD</w:t>
            </w: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w w:val="91"/>
              </w:rPr>
              <w:t>Redeemable warrants, each whole warrant exercisable for one share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BZFDW</w:t>
            </w: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w w:val="94"/>
              </w:rPr>
              <w:t>of Class A Common Stock at an exercise price of $11.50 per share</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21"/>
          <w:szCs w:val="21"/>
          <w:color w:val="auto"/>
        </w:rPr>
        <w:t>x</w:t>
      </w:r>
    </w:p>
    <w:p>
      <w:pPr>
        <w:spacing w:after="0" w:line="18"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1869440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1093470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March 13, 2023, BuzzFeed, Inc. (the “Company”) issued a press release (the “Press Release”) announcing its financial results for the fourth quarter and full year ended December 31, 2022. The Company also announced that it would be holding a conference call on March 13, 2023 to discuss its financial results. A copy of the Press Release is furnished as Exhibit 99.1 to this Current Report on Form 8-K.</w:t>
      </w:r>
    </w:p>
    <w:p>
      <w:pPr>
        <w:jc w:val="both"/>
        <w:ind w:firstLine="648"/>
        <w:spacing w:after="0" w:line="242" w:lineRule="auto"/>
        <w:rPr>
          <w:sz w:val="20"/>
          <w:szCs w:val="20"/>
          <w:color w:val="auto"/>
        </w:rPr>
      </w:pPr>
      <w:r>
        <w:rPr>
          <w:rFonts w:ascii="Arial" w:cs="Arial" w:eastAsia="Arial" w:hAnsi="Arial"/>
          <w:sz w:val="18"/>
          <w:szCs w:val="18"/>
          <w:color w:val="auto"/>
        </w:rPr>
        <w:t>The information included under Item 2.02 of this Current Report on Form 8-K and the exhibits hereto are being furnished and shall not be deemed “filed” for purposes of Section 18 of the Securities Exchange Act of 1934, as amended (the “Exchange Act”), or otherwise subject to the liabilities of that section, nor shall it been deemed incorporated by reference in any filing under the Securities Act of 1933, as amended, or the Exchange Act, except as shall be expressly set forth by specific reference in such a filing.</w:t>
      </w:r>
    </w:p>
    <w:p>
      <w:pPr>
        <w:spacing w:after="0" w:line="237" w:lineRule="auto"/>
        <w:rPr>
          <w:sz w:val="20"/>
          <w:szCs w:val="20"/>
          <w:color w:val="auto"/>
        </w:rPr>
      </w:pPr>
      <w:r>
        <w:rPr>
          <w:rFonts w:ascii="Arial" w:cs="Arial" w:eastAsia="Arial" w:hAnsi="Arial"/>
          <w:sz w:val="18"/>
          <w:szCs w:val="18"/>
          <w:b w:val="1"/>
          <w:bCs w:val="1"/>
          <w:color w:val="212529"/>
        </w:rPr>
        <w:t>Item 7.01 Regulation FD Disclosure.</w:t>
      </w:r>
    </w:p>
    <w:p>
      <w:pPr>
        <w:jc w:val="both"/>
        <w:ind w:firstLine="648"/>
        <w:spacing w:after="0" w:line="238" w:lineRule="auto"/>
        <w:rPr>
          <w:sz w:val="20"/>
          <w:szCs w:val="20"/>
          <w:color w:val="auto"/>
        </w:rPr>
      </w:pPr>
      <w:r>
        <w:rPr>
          <w:rFonts w:ascii="Arial" w:cs="Arial" w:eastAsia="Arial" w:hAnsi="Arial"/>
          <w:sz w:val="18"/>
          <w:szCs w:val="18"/>
          <w:color w:val="auto"/>
        </w:rPr>
        <w:t>On March 13, 2023, the Company posted supplemental investor materials on the Investors Relations section of its website, available at investors.buzzfeed.com. The Company announces material information to the public through filings with the Securities and Exchange Commission, the investor relations page on the Company’s website, press releases, public conference calls and webcasts in order to achieve broad, non-exclusionary distribution of information to the public and for complying with its disclosure obligations under Regulation FD.</w:t>
      </w:r>
    </w:p>
    <w:p>
      <w:pPr>
        <w:spacing w:after="0" w:line="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the Company encourages investors, the media and others to follow the channels listed above and to review the information disclosed through such channels.</w:t>
      </w:r>
    </w:p>
    <w:p>
      <w:pPr>
        <w:spacing w:after="0" w:line="1"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8"/>
          <w:szCs w:val="18"/>
          <w:color w:val="auto"/>
        </w:rPr>
        <w:t>Any updates to the list of disclosure channels through which the Company announces information will be posted on the investor relations page on the Company’s website.</w:t>
      </w:r>
    </w:p>
    <w:p>
      <w:pPr>
        <w:spacing w:after="0" w:line="238" w:lineRule="auto"/>
        <w:rPr>
          <w:sz w:val="20"/>
          <w:szCs w:val="20"/>
          <w:color w:val="auto"/>
        </w:rPr>
      </w:pPr>
      <w:r>
        <w:rPr>
          <w:rFonts w:ascii="Arial" w:cs="Arial" w:eastAsia="Arial" w:hAnsi="Arial"/>
          <w:sz w:val="18"/>
          <w:szCs w:val="18"/>
          <w:b w:val="1"/>
          <w:bCs w:val="1"/>
          <w:color w:val="auto"/>
        </w:rPr>
        <w:t>Item 9.01 Financial Statements and Exhibits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02"/>
        </w:trPr>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tcPr>
          <w:p>
            <w:pPr>
              <w:spacing w:after="0" w:line="202" w:lineRule="exact"/>
              <w:rPr>
                <w:sz w:val="20"/>
                <w:szCs w:val="20"/>
                <w:color w:val="auto"/>
              </w:rPr>
            </w:pPr>
            <w:r>
              <w:rPr>
                <w:rFonts w:ascii="Arial" w:cs="Arial" w:eastAsia="Arial" w:hAnsi="Arial"/>
                <w:sz w:val="18"/>
                <w:szCs w:val="18"/>
                <w:color w:val="0000FF"/>
                <w:w w:val="87"/>
              </w:rPr>
              <w:t>Press Release Dated March 13, 2023</w:t>
            </w:r>
          </w:p>
        </w:tc>
        <w:tc>
          <w:tcPr>
            <w:tcW w:w="6520" w:type="dxa"/>
            <w:vAlign w:val="bottom"/>
            <w:gridSpan w:val="2"/>
          </w:tcPr>
          <w:p>
            <w:pPr>
              <w:spacing w:after="0"/>
              <w:rPr>
                <w:sz w:val="17"/>
                <w:szCs w:val="17"/>
                <w:color w:val="auto"/>
              </w:rPr>
            </w:pPr>
          </w:p>
        </w:tc>
      </w:tr>
      <w:tr>
        <w:trPr>
          <w:trHeight w:val="277"/>
        </w:trPr>
        <w:tc>
          <w:tcPr>
            <w:tcW w:w="19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2"/>
        </w:trPr>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229"/>
        </w:trPr>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 w:lineRule="exact"/>
        <w:rPr>
          <w:sz w:val="20"/>
          <w:szCs w:val="20"/>
          <w:color w:val="auto"/>
        </w:rPr>
      </w:pPr>
    </w:p>
    <w:p>
      <w:pPr>
        <w:ind w:left="20"/>
        <w:spacing w:after="0"/>
        <w:tabs>
          <w:tab w:leader="none" w:pos="1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13, 2023</w:t>
      </w:r>
    </w:p>
    <w:p>
      <w:pPr>
        <w:spacing w:after="0" w:line="4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BuzzFeed, Inc.</w:t>
      </w:r>
    </w:p>
    <w:p>
      <w:pPr>
        <w:spacing w:after="0" w:line="310" w:lineRule="exact"/>
        <w:rPr>
          <w:sz w:val="20"/>
          <w:szCs w:val="20"/>
          <w:color w:val="auto"/>
        </w:rPr>
      </w:pPr>
    </w:p>
    <w:p>
      <w:pPr>
        <w:ind w:left="54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31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Jonah Peretti</w:t>
      </w:r>
    </w:p>
    <w:p>
      <w:pPr>
        <w:spacing w:after="0" w:line="5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BuzzFeed, Inc. Announces Fourth Quarter and Full Year 2022 Financial Results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Delivered Q4 Results in line with November outlook</w:t>
      </w:r>
    </w:p>
    <w:p>
      <w:pPr>
        <w:spacing w:after="0" w:line="2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b w:val="1"/>
          <w:bCs w:val="1"/>
          <w:color w:val="auto"/>
        </w:rPr>
        <w:t xml:space="preserve">NEW YORK – (March 13,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12121"/>
        </w:rPr>
        <w:t>BuzzFeed, Inc. (“BuzzFeed” or the “Company”) (Nasdaq: BZFD), a premier digital media company for the most</w:t>
      </w:r>
      <w:r>
        <w:rPr>
          <w:rFonts w:ascii="Arial" w:cs="Arial" w:eastAsia="Arial" w:hAnsi="Arial"/>
          <w:sz w:val="18"/>
          <w:szCs w:val="18"/>
          <w:b w:val="1"/>
          <w:bCs w:val="1"/>
          <w:color w:val="auto"/>
        </w:rPr>
        <w:t xml:space="preserve"> </w:t>
      </w:r>
      <w:r>
        <w:rPr>
          <w:rFonts w:ascii="Arial" w:cs="Arial" w:eastAsia="Arial" w:hAnsi="Arial"/>
          <w:sz w:val="18"/>
          <w:szCs w:val="18"/>
          <w:color w:val="212121"/>
        </w:rPr>
        <w:t>diverse, most online, and most socially engaged generations the world has ever seen, today announced financial results for the full year and fourth quarter ended December 31, 2022.</w:t>
      </w:r>
    </w:p>
    <w:p>
      <w:pPr>
        <w:spacing w:after="0" w:line="202" w:lineRule="exact"/>
        <w:rPr>
          <w:sz w:val="20"/>
          <w:szCs w:val="20"/>
          <w:color w:val="auto"/>
        </w:rPr>
      </w:pPr>
    </w:p>
    <w:p>
      <w:pPr>
        <w:jc w:val="both"/>
        <w:ind w:right="120"/>
        <w:spacing w:after="0" w:line="241" w:lineRule="auto"/>
        <w:rPr>
          <w:sz w:val="20"/>
          <w:szCs w:val="20"/>
          <w:color w:val="auto"/>
        </w:rPr>
      </w:pPr>
      <w:r>
        <w:rPr>
          <w:rFonts w:ascii="Arial" w:cs="Arial" w:eastAsia="Arial" w:hAnsi="Arial"/>
          <w:sz w:val="16"/>
          <w:szCs w:val="16"/>
          <w:color w:val="212121"/>
        </w:rPr>
        <w:t xml:space="preserve">“There's no denying that 2022 was a tough year for digital media. The challenges we faced in Q4 are also impacting us in Q1 2023, and it is clear we have more work to do to realize the full potential of our combined brand portfolio,” said </w:t>
      </w:r>
      <w:r>
        <w:rPr>
          <w:rFonts w:ascii="Arial" w:cs="Arial" w:eastAsia="Arial" w:hAnsi="Arial"/>
          <w:sz w:val="16"/>
          <w:szCs w:val="16"/>
          <w:b w:val="1"/>
          <w:bCs w:val="1"/>
          <w:color w:val="212121"/>
        </w:rPr>
        <w:t>Jonah Peretti, BuzzFeed Founder &amp; CEO.</w:t>
      </w:r>
      <w:r>
        <w:rPr>
          <w:rFonts w:ascii="Arial" w:cs="Arial" w:eastAsia="Arial" w:hAnsi="Arial"/>
          <w:sz w:val="16"/>
          <w:szCs w:val="16"/>
          <w:color w:val="212121"/>
        </w:rPr>
        <w:t xml:space="preserve"> “As we work to address these challenges, our value proposition continues to resonate strongly in the marketplace. With iconic brands, a massive audience and a differentiated</w:t>
      </w:r>
    </w:p>
    <w:p>
      <w:pPr>
        <w:spacing w:after="0" w:line="2"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212121"/>
        </w:rPr>
        <w:t>technology platform, we occupy a unique position in the ecosystem of audiences, creators, platforms and advertisers. And, our work in the exciting new areas of creators and artificial intelligence are continuing to lead the way in defining the future of media.”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Full-Year 2022 Financial and Operational Highlights</w:t>
      </w:r>
      <w:r>
        <w:rPr>
          <w:rFonts w:ascii="Arial" w:cs="Arial" w:eastAsia="Arial" w:hAnsi="Arial"/>
          <w:sz w:val="23"/>
          <w:szCs w:val="23"/>
          <w:b w:val="1"/>
          <w:bCs w:val="1"/>
          <w:u w:val="single" w:color="auto"/>
          <w:color w:val="auto"/>
          <w:vertAlign w:val="superscript"/>
        </w:rPr>
        <w:t>1</w:t>
      </w:r>
    </w:p>
    <w:p>
      <w:pPr>
        <w:spacing w:after="0" w:line="1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Including Complex Networks in the 2022 results, BuzzFeed delivered full year revenues of $436.7 million, growing 10% compared to 2021</w:t>
      </w:r>
    </w:p>
    <w:p>
      <w:pPr>
        <w:spacing w:after="0" w:line="99" w:lineRule="exact"/>
        <w:rPr>
          <w:rFonts w:ascii="Arial" w:cs="Arial" w:eastAsia="Arial" w:hAnsi="Arial"/>
          <w:sz w:val="16"/>
          <w:szCs w:val="16"/>
          <w:color w:val="auto"/>
        </w:rPr>
      </w:pPr>
    </w:p>
    <w:p>
      <w:pPr>
        <w:ind w:left="1300" w:right="440" w:hanging="320"/>
        <w:spacing w:after="0" w:line="250" w:lineRule="auto"/>
        <w:tabs>
          <w:tab w:leader="none" w:pos="1287"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Advertising revenue, </w:t>
      </w:r>
      <w:r>
        <w:rPr>
          <w:rFonts w:ascii="Arial" w:cs="Arial" w:eastAsia="Arial" w:hAnsi="Arial"/>
          <w:sz w:val="18"/>
          <w:szCs w:val="18"/>
          <w:color w:val="auto"/>
        </w:rPr>
        <w:t>consisting of payments we receive from advertisers for ads distributed against our editorial and news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display and pre-roll, was approximately flat at $202.8 million</w:t>
      </w:r>
    </w:p>
    <w:p>
      <w:pPr>
        <w:spacing w:after="0" w:line="108" w:lineRule="exact"/>
        <w:rPr>
          <w:rFonts w:ascii="Arial" w:cs="Arial" w:eastAsia="Arial" w:hAnsi="Arial"/>
          <w:sz w:val="18"/>
          <w:szCs w:val="18"/>
          <w:color w:val="auto"/>
        </w:rPr>
      </w:pPr>
    </w:p>
    <w:p>
      <w:pPr>
        <w:ind w:left="1300" w:right="60" w:hanging="320"/>
        <w:spacing w:after="0" w:line="279" w:lineRule="auto"/>
        <w:tabs>
          <w:tab w:leader="none" w:pos="1287"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Content revenue, </w:t>
      </w:r>
      <w:r>
        <w:rPr>
          <w:rFonts w:ascii="Arial" w:cs="Arial" w:eastAsia="Arial" w:hAnsi="Arial"/>
          <w:sz w:val="17"/>
          <w:szCs w:val="17"/>
          <w:color w:val="auto"/>
        </w:rPr>
        <w:t>consisting of payments received from clients for custom assets, including both short-form and long-form ranging from</w:t>
      </w:r>
      <w:r>
        <w:rPr>
          <w:rFonts w:ascii="Arial" w:cs="Arial" w:eastAsia="Arial" w:hAnsi="Arial"/>
          <w:sz w:val="17"/>
          <w:szCs w:val="17"/>
          <w:b w:val="1"/>
          <w:bCs w:val="1"/>
          <w:color w:val="auto"/>
        </w:rPr>
        <w:t xml:space="preserve"> </w:t>
      </w:r>
      <w:r>
        <w:rPr>
          <w:rFonts w:ascii="Arial" w:cs="Arial" w:eastAsia="Arial" w:hAnsi="Arial"/>
          <w:sz w:val="17"/>
          <w:szCs w:val="17"/>
          <w:color w:val="auto"/>
        </w:rPr>
        <w:t>branded quizzes to Instagram takeovers to feature films and content licensing, grew 27% year-over-year to $165.8 million</w:t>
      </w:r>
    </w:p>
    <w:p>
      <w:pPr>
        <w:spacing w:after="0" w:line="85" w:lineRule="exact"/>
        <w:rPr>
          <w:rFonts w:ascii="Arial" w:cs="Arial" w:eastAsia="Arial" w:hAnsi="Arial"/>
          <w:sz w:val="17"/>
          <w:szCs w:val="17"/>
          <w:color w:val="auto"/>
        </w:rPr>
      </w:pPr>
    </w:p>
    <w:p>
      <w:pPr>
        <w:ind w:left="1300" w:right="40" w:hanging="320"/>
        <w:spacing w:after="0" w:line="250" w:lineRule="auto"/>
        <w:tabs>
          <w:tab w:leader="none" w:pos="1287"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Commerce and other revenues, </w:t>
      </w:r>
      <w:r>
        <w:rPr>
          <w:rFonts w:ascii="Arial" w:cs="Arial" w:eastAsia="Arial" w:hAnsi="Arial"/>
          <w:sz w:val="18"/>
          <w:szCs w:val="18"/>
          <w:color w:val="auto"/>
        </w:rPr>
        <w:t>which includes affiliate marketplace, product licensing and events revenue, grew 11% year-over-year to</w:t>
      </w:r>
      <w:r>
        <w:rPr>
          <w:rFonts w:ascii="Arial" w:cs="Arial" w:eastAsia="Arial" w:hAnsi="Arial"/>
          <w:sz w:val="18"/>
          <w:szCs w:val="18"/>
          <w:b w:val="1"/>
          <w:bCs w:val="1"/>
          <w:color w:val="auto"/>
        </w:rPr>
        <w:t xml:space="preserve"> </w:t>
      </w:r>
      <w:r>
        <w:rPr>
          <w:rFonts w:ascii="Arial" w:cs="Arial" w:eastAsia="Arial" w:hAnsi="Arial"/>
          <w:sz w:val="18"/>
          <w:szCs w:val="18"/>
          <w:color w:val="auto"/>
        </w:rPr>
        <w:t>$68.1 million</w:t>
      </w:r>
    </w:p>
    <w:p>
      <w:pPr>
        <w:spacing w:after="0" w:line="41" w:lineRule="exact"/>
        <w:rPr>
          <w:rFonts w:ascii="Arial" w:cs="Arial" w:eastAsia="Arial" w:hAnsi="Arial"/>
          <w:sz w:val="18"/>
          <w:szCs w:val="18"/>
          <w:color w:val="auto"/>
        </w:rPr>
      </w:pPr>
    </w:p>
    <w:p>
      <w:pPr>
        <w:ind w:left="660" w:right="360" w:hanging="328"/>
        <w:spacing w:after="0" w:line="237" w:lineRule="auto"/>
        <w:tabs>
          <w:tab w:leader="none" w:pos="647"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loss was $201.3 million, </w:t>
      </w:r>
      <w:r>
        <w:rPr>
          <w:rFonts w:ascii="Arial" w:cs="Arial" w:eastAsia="Arial" w:hAnsi="Arial"/>
          <w:sz w:val="18"/>
          <w:szCs w:val="18"/>
          <w:color w:val="auto"/>
        </w:rPr>
        <w:t>including a non-cash goodwill impairment charge of $102.3 million, compared to net income of $25.9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127"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was $0.5 million</w:t>
      </w:r>
      <w:r>
        <w:rPr>
          <w:rFonts w:ascii="Arial" w:cs="Arial" w:eastAsia="Arial" w:hAnsi="Arial"/>
          <w:sz w:val="18"/>
          <w:szCs w:val="18"/>
          <w:color w:val="auto"/>
        </w:rPr>
        <w:t>, compared to Adjusted EBITDA of $41.5 million in 2021</w:t>
      </w:r>
    </w:p>
    <w:p>
      <w:pPr>
        <w:spacing w:after="0" w:line="103" w:lineRule="exact"/>
        <w:rPr>
          <w:rFonts w:ascii="Arial" w:cs="Arial" w:eastAsia="Arial" w:hAnsi="Arial"/>
          <w:sz w:val="18"/>
          <w:szCs w:val="18"/>
          <w:color w:val="auto"/>
        </w:rPr>
      </w:pPr>
    </w:p>
    <w:p>
      <w:pPr>
        <w:ind w:left="660" w:right="20" w:hanging="328"/>
        <w:spacing w:after="0" w:line="237" w:lineRule="auto"/>
        <w:tabs>
          <w:tab w:leader="none" w:pos="647"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Time Spent</w:t>
      </w:r>
      <w:r>
        <w:rPr>
          <w:rFonts w:ascii="Arial" w:cs="Arial" w:eastAsia="Arial" w:hAnsi="Arial"/>
          <w:sz w:val="18"/>
          <w:szCs w:val="18"/>
          <w:color w:val="auto"/>
        </w:rPr>
        <w:t xml:space="preserve"> on our owned and operated properties was more than offset by declines on third-party platforms, resulting in a 21% decline in overall Time Spent, to 624 million hours.</w:t>
      </w:r>
    </w:p>
    <w:p>
      <w:pPr>
        <w:spacing w:after="0" w:line="131" w:lineRule="exact"/>
        <w:rPr>
          <w:rFonts w:ascii="Arial" w:cs="Arial" w:eastAsia="Arial" w:hAnsi="Arial"/>
          <w:sz w:val="18"/>
          <w:szCs w:val="18"/>
          <w:color w:val="auto"/>
        </w:rPr>
      </w:pPr>
    </w:p>
    <w:p>
      <w:pPr>
        <w:ind w:left="660" w:right="280" w:hanging="328"/>
        <w:spacing w:after="0" w:line="256" w:lineRule="auto"/>
        <w:tabs>
          <w:tab w:leader="none" w:pos="647"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BuzzFeed ended the year with </w:t>
      </w:r>
      <w:r>
        <w:rPr>
          <w:rFonts w:ascii="Arial" w:cs="Arial" w:eastAsia="Arial" w:hAnsi="Arial"/>
          <w:sz w:val="16"/>
          <w:szCs w:val="16"/>
          <w:b w:val="1"/>
          <w:bCs w:val="1"/>
          <w:color w:val="auto"/>
        </w:rPr>
        <w:t>cash and cash equivalents</w:t>
      </w:r>
      <w:r>
        <w:rPr>
          <w:rFonts w:ascii="Arial" w:cs="Arial" w:eastAsia="Arial" w:hAnsi="Arial"/>
          <w:sz w:val="16"/>
          <w:szCs w:val="16"/>
          <w:color w:val="auto"/>
        </w:rPr>
        <w:t xml:space="preserve"> of approximately $56 million. As of March 10, 2023, the majority of the Company’s cash and cash equivalents balance were held at Silicon Valley Bank. However, in a joint statement released by the U.S. Department of the Treasury, the Federal Reserve, and the Federal Deposit Insurance Corporation, the U.S. government reassured that all depositors will be fully protected. The Company is accessing its funds and does not currently anticipate any disruption to its ongoing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2022 Financial and Operational Highlights</w:t>
      </w:r>
      <w:r>
        <w:rPr>
          <w:rFonts w:ascii="Arial" w:cs="Arial" w:eastAsia="Arial" w:hAnsi="Arial"/>
          <w:sz w:val="23"/>
          <w:szCs w:val="23"/>
          <w:b w:val="1"/>
          <w:bCs w:val="1"/>
          <w:u w:val="single" w:color="auto"/>
          <w:color w:val="auto"/>
          <w:vertAlign w:val="superscript"/>
        </w:rPr>
        <w:t>1</w:t>
      </w:r>
    </w:p>
    <w:p>
      <w:pPr>
        <w:spacing w:after="0" w:line="100" w:lineRule="exact"/>
        <w:rPr>
          <w:sz w:val="20"/>
          <w:szCs w:val="20"/>
          <w:color w:val="auto"/>
        </w:rPr>
      </w:pPr>
    </w:p>
    <w:p>
      <w:pPr>
        <w:ind w:left="660" w:right="60" w:hanging="328"/>
        <w:spacing w:after="0" w:line="237"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Including Complex Networks in the 2022 results, BuzzFeed delivered Q4 revenues of $134.6 million, declining 8% compared to the fourth quarter of 2021</w:t>
      </w:r>
    </w:p>
    <w:p>
      <w:pPr>
        <w:spacing w:after="0" w:line="50"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Advertising revenue </w:t>
      </w:r>
      <w:r>
        <w:rPr>
          <w:rFonts w:ascii="Arial" w:cs="Arial" w:eastAsia="Arial" w:hAnsi="Arial"/>
          <w:sz w:val="18"/>
          <w:szCs w:val="18"/>
          <w:color w:val="auto"/>
        </w:rPr>
        <w:t>declined 27% year-over-year to $50.5 million</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Content revenue </w:t>
      </w:r>
      <w:r>
        <w:rPr>
          <w:rFonts w:ascii="Arial" w:cs="Arial" w:eastAsia="Arial" w:hAnsi="Arial"/>
          <w:sz w:val="18"/>
          <w:szCs w:val="18"/>
          <w:color w:val="auto"/>
        </w:rPr>
        <w:t>declined 9% year-over-year to $54.8 million</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Commerce and other revenues </w:t>
      </w:r>
      <w:r>
        <w:rPr>
          <w:rFonts w:ascii="Arial" w:cs="Arial" w:eastAsia="Arial" w:hAnsi="Arial"/>
          <w:sz w:val="18"/>
          <w:szCs w:val="18"/>
          <w:color w:val="auto"/>
        </w:rPr>
        <w:t>grew 76% year-over-year to $29.3 million</w:t>
      </w:r>
    </w:p>
    <w:p>
      <w:pPr>
        <w:spacing w:after="0" w:line="76" w:lineRule="exact"/>
        <w:rPr>
          <w:rFonts w:ascii="Arial" w:cs="Arial" w:eastAsia="Arial" w:hAnsi="Arial"/>
          <w:sz w:val="18"/>
          <w:szCs w:val="18"/>
          <w:color w:val="auto"/>
        </w:rPr>
      </w:pPr>
    </w:p>
    <w:p>
      <w:pPr>
        <w:ind w:left="660" w:right="240" w:hanging="328"/>
        <w:spacing w:after="0" w:line="237"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Net loss was $106.2 million</w:t>
      </w:r>
      <w:r>
        <w:rPr>
          <w:rFonts w:ascii="Arial" w:cs="Arial" w:eastAsia="Arial" w:hAnsi="Arial"/>
          <w:sz w:val="18"/>
          <w:szCs w:val="18"/>
          <w:color w:val="auto"/>
        </w:rPr>
        <w:t>, including a non-cash goodwill impairment charge of $102.3 million, compared to a net income of $41.6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 xml:space="preserve"> 2021 actual results include Complex Networks as of December 2021.</w:t>
      </w:r>
    </w:p>
    <w:p>
      <w:pPr>
        <w:ind w:right="80"/>
        <w:spacing w:after="0" w:line="183"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Adjusted EBITDA is a non-GAAP financial measure. Please refer to “Non-GAAP Financial Measures” below for a description of how it is calculated and the tables at the back of this earnings release for a reconciliation of our GAAP and non-GAAP results.</w:t>
      </w:r>
    </w:p>
    <w:p>
      <w:pPr>
        <w:sectPr>
          <w:pgSz w:w="11900" w:h="16838" w:orient="portrait"/>
          <w:cols w:equalWidth="0" w:num="1">
            <w:col w:w="11240"/>
          </w:cols>
          <w:pgMar w:left="320" w:top="104" w:right="339" w:bottom="1440" w:gutter="0" w:footer="0" w:header="0"/>
        </w:sectPr>
      </w:pPr>
    </w:p>
    <w:bookmarkStart w:id="5" w:name="page6"/>
    <w:bookmarkEnd w:id="5"/>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was $17.6 million</w:t>
      </w:r>
      <w:r>
        <w:rPr>
          <w:rFonts w:ascii="Arial" w:cs="Arial" w:eastAsia="Arial" w:hAnsi="Arial"/>
          <w:sz w:val="18"/>
          <w:szCs w:val="18"/>
          <w:color w:val="auto"/>
        </w:rPr>
        <w:t>, compared to Adjusted EBITDA of $34.2 million in the fourth quarter of 2021</w:t>
      </w:r>
    </w:p>
    <w:p>
      <w:pPr>
        <w:spacing w:after="0" w:line="103" w:lineRule="exact"/>
        <w:rPr>
          <w:rFonts w:ascii="Arial" w:cs="Arial" w:eastAsia="Arial" w:hAnsi="Arial"/>
          <w:sz w:val="18"/>
          <w:szCs w:val="18"/>
          <w:color w:val="auto"/>
        </w:rPr>
      </w:pPr>
    </w:p>
    <w:p>
      <w:pPr>
        <w:ind w:left="660" w:hanging="328"/>
        <w:spacing w:after="0" w:line="237"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Time Spent</w:t>
      </w:r>
      <w:r>
        <w:rPr>
          <w:rFonts w:ascii="Arial" w:cs="Arial" w:eastAsia="Arial" w:hAnsi="Arial"/>
          <w:sz w:val="18"/>
          <w:szCs w:val="18"/>
          <w:color w:val="auto"/>
        </w:rPr>
        <w:t xml:space="preserve"> on our owned and operated properties was more than offset by declines on third-party platforms, resulting in a 27% decline in overall Time Spent, to 135 million hours.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2023 Financial Outlook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22222"/>
        </w:rPr>
        <w:t>For the first quarter of 2023:</w:t>
      </w:r>
    </w:p>
    <w:p>
      <w:pPr>
        <w:spacing w:after="0" w:line="15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212121"/>
        </w:rPr>
      </w:pPr>
      <w:r>
        <w:rPr>
          <w:rFonts w:ascii="Arial" w:cs="Arial" w:eastAsia="Arial" w:hAnsi="Arial"/>
          <w:sz w:val="18"/>
          <w:szCs w:val="18"/>
          <w:color w:val="212121"/>
        </w:rPr>
        <w:t>We expect overall revenues in the range of $61 to $67 million</w:t>
      </w:r>
    </w:p>
    <w:p>
      <w:pPr>
        <w:spacing w:after="0" w:line="144" w:lineRule="exact"/>
        <w:rPr>
          <w:rFonts w:ascii="Arial" w:cs="Arial" w:eastAsia="Arial" w:hAnsi="Arial"/>
          <w:sz w:val="18"/>
          <w:szCs w:val="18"/>
          <w:color w:val="212121"/>
        </w:rPr>
      </w:pPr>
    </w:p>
    <w:p>
      <w:pPr>
        <w:ind w:left="640" w:hanging="308"/>
        <w:spacing w:after="0"/>
        <w:tabs>
          <w:tab w:leader="none" w:pos="640" w:val="left"/>
        </w:tabs>
        <w:numPr>
          <w:ilvl w:val="0"/>
          <w:numId w:val="6"/>
        </w:numPr>
        <w:rPr>
          <w:rFonts w:ascii="Arial" w:cs="Arial" w:eastAsia="Arial" w:hAnsi="Arial"/>
          <w:sz w:val="18"/>
          <w:szCs w:val="18"/>
          <w:color w:val="212121"/>
        </w:rPr>
      </w:pPr>
      <w:r>
        <w:rPr>
          <w:rFonts w:ascii="Arial" w:cs="Arial" w:eastAsia="Arial" w:hAnsi="Arial"/>
          <w:sz w:val="18"/>
          <w:szCs w:val="18"/>
          <w:color w:val="212121"/>
        </w:rPr>
        <w:t>We expect Adjusted EBITDA losses in the range of $18 to $25 million</w:t>
      </w:r>
    </w:p>
    <w:p>
      <w:pPr>
        <w:spacing w:after="0" w:line="15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These statements are forward-looking and actual results may differ materially as a result of many factors. Refer to “Forward-Looking Statements” below for information on factors that could cause our actual results to differ materially from these forward-looking statements.</w:t>
      </w:r>
    </w:p>
    <w:p>
      <w:pPr>
        <w:spacing w:after="0" w:line="202"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Please see “Non-GAAP Financial Measures” below for a description of how Adjusted EBITDA is calculated. While Adjusted EBITDA is a non-GAAP financial measure, we have not provided guidance for the most directly comparable GAAP financial measure — net (loss) income — due to the inherent difficulty in forecasting and quantifying certain amounts that are necessary to forecast such measure. Accordingly, a reconciliation of non-GAAP guidance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Adjusted EBITDA to the corresponding GAAP measure is not available.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Conference Call</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BuzzFeed’s management team will hold a conference call to discuss our fourth quarter and full year 2022 results today, March 13, at 5PM ET. The call will</w:t>
      </w:r>
    </w:p>
    <w:p>
      <w:pPr>
        <w:spacing w:after="0" w:line="2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be available via webcast at </w:t>
      </w:r>
      <w:r>
        <w:rPr>
          <w:rFonts w:ascii="Arial" w:cs="Arial" w:eastAsia="Arial" w:hAnsi="Arial"/>
          <w:sz w:val="17"/>
          <w:szCs w:val="17"/>
          <w:u w:val="single" w:color="auto"/>
          <w:color w:val="1155CC"/>
        </w:rPr>
        <w:t>investors.buzzfeed.com</w:t>
      </w:r>
      <w:r>
        <w:rPr>
          <w:rFonts w:ascii="Arial" w:cs="Arial" w:eastAsia="Arial" w:hAnsi="Arial"/>
          <w:sz w:val="17"/>
          <w:szCs w:val="17"/>
          <w:color w:val="auto"/>
        </w:rPr>
        <w:t xml:space="preserve"> under the headin</w:t>
      </w:r>
      <w:r>
        <w:rPr>
          <w:rFonts w:ascii="Arial" w:cs="Arial" w:eastAsia="Arial" w:hAnsi="Arial"/>
          <w:sz w:val="17"/>
          <w:szCs w:val="17"/>
          <w:color w:val="222222"/>
        </w:rPr>
        <w:t>g News &amp; Events. To participate via telephone, please dial 833-634-1260 (toll-free) or</w:t>
      </w:r>
      <w:r>
        <w:rPr>
          <w:rFonts w:ascii="Arial" w:cs="Arial" w:eastAsia="Arial" w:hAnsi="Arial"/>
          <w:sz w:val="17"/>
          <w:szCs w:val="17"/>
          <w:color w:val="auto"/>
        </w:rPr>
        <w:t xml:space="preserve"> </w:t>
      </w:r>
      <w:r>
        <w:rPr>
          <w:rFonts w:ascii="Arial" w:cs="Arial" w:eastAsia="Arial" w:hAnsi="Arial"/>
          <w:sz w:val="17"/>
          <w:szCs w:val="17"/>
          <w:color w:val="222222"/>
        </w:rPr>
        <w:t>412-317-6021 (international) and ask to join the BuzzFeed, Inc. call. A replay of the call will be made available at the same URL.</w:t>
      </w:r>
    </w:p>
    <w:p>
      <w:pPr>
        <w:spacing w:after="0" w:line="18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We have used, and intend to continue to use, the Investor Relations section of our website at https://investors.buzzfeed.com as a means of disclosing material nonpublic information and for complying with our disclosure obligations under Regulation FD.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BuzzFeed reports revenues across three primary business lines: Advertising, Content and Commerce and other. The definition of “Time Spent” is also set forth below.</w:t>
      </w:r>
    </w:p>
    <w:p>
      <w:pPr>
        <w:spacing w:after="0" w:line="112" w:lineRule="exact"/>
        <w:rPr>
          <w:sz w:val="20"/>
          <w:szCs w:val="20"/>
          <w:color w:val="auto"/>
        </w:rPr>
      </w:pPr>
    </w:p>
    <w:p>
      <w:pPr>
        <w:ind w:left="660" w:right="220" w:hanging="328"/>
        <w:spacing w:after="0" w:line="247" w:lineRule="auto"/>
        <w:tabs>
          <w:tab w:leader="none" w:pos="647"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Advertising revenues </w:t>
      </w:r>
      <w:r>
        <w:rPr>
          <w:rFonts w:ascii="Arial" w:cs="Arial" w:eastAsia="Arial" w:hAnsi="Arial"/>
          <w:sz w:val="17"/>
          <w:szCs w:val="17"/>
          <w:color w:val="auto"/>
        </w:rPr>
        <w:t>consist primarily of payments we receive from advertisers for ads distributed against our editorial and news content,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display, pre-roll and mid-roll video products sold directly to brands and also programmatically. We distribute these ad products across our owned and operated sites as well as third-party platforms, primarily Facebook, YouTube, and Apple News.</w:t>
      </w:r>
    </w:p>
    <w:p>
      <w:pPr>
        <w:spacing w:after="0" w:line="125" w:lineRule="exact"/>
        <w:rPr>
          <w:rFonts w:ascii="Arial" w:cs="Arial" w:eastAsia="Arial" w:hAnsi="Arial"/>
          <w:sz w:val="17"/>
          <w:szCs w:val="17"/>
          <w:color w:val="auto"/>
        </w:rPr>
      </w:pPr>
    </w:p>
    <w:p>
      <w:pPr>
        <w:ind w:left="660" w:right="160" w:hanging="328"/>
        <w:spacing w:after="0" w:line="226" w:lineRule="auto"/>
        <w:tabs>
          <w:tab w:leader="none" w:pos="647"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Content revenues </w:t>
      </w:r>
      <w:r>
        <w:rPr>
          <w:rFonts w:ascii="Arial" w:cs="Arial" w:eastAsia="Arial" w:hAnsi="Arial"/>
          <w:sz w:val="18"/>
          <w:szCs w:val="18"/>
          <w:color w:val="auto"/>
        </w:rPr>
        <w:t>consist primarily of payments received from clients for custom assets, including both long-form and short-form content, from</w:t>
      </w:r>
      <w:r>
        <w:rPr>
          <w:rFonts w:ascii="Arial" w:cs="Arial" w:eastAsia="Arial" w:hAnsi="Arial"/>
          <w:sz w:val="18"/>
          <w:szCs w:val="18"/>
          <w:b w:val="1"/>
          <w:bCs w:val="1"/>
          <w:color w:val="auto"/>
        </w:rPr>
        <w:t xml:space="preserve"> </w:t>
      </w:r>
      <w:r>
        <w:rPr>
          <w:rFonts w:ascii="Arial" w:cs="Arial" w:eastAsia="Arial" w:hAnsi="Arial"/>
          <w:sz w:val="18"/>
          <w:szCs w:val="18"/>
          <w:color w:val="auto"/>
        </w:rPr>
        <w:t>branded quizzes to Instagram takeovers to sponsored content. Revenues for film and TV projects produced by BuzzFeed Studios and Complex Networks are also included here.</w:t>
      </w:r>
    </w:p>
    <w:p>
      <w:pPr>
        <w:spacing w:after="0" w:line="130" w:lineRule="exact"/>
        <w:rPr>
          <w:rFonts w:ascii="Arial" w:cs="Arial" w:eastAsia="Arial" w:hAnsi="Arial"/>
          <w:sz w:val="18"/>
          <w:szCs w:val="18"/>
          <w:color w:val="auto"/>
        </w:rPr>
      </w:pPr>
    </w:p>
    <w:p>
      <w:pPr>
        <w:ind w:left="660" w:right="140" w:hanging="328"/>
        <w:spacing w:after="0" w:line="226" w:lineRule="auto"/>
        <w:tabs>
          <w:tab w:leader="none" w:pos="647"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Commerce and other revenues </w:t>
      </w:r>
      <w:r>
        <w:rPr>
          <w:rFonts w:ascii="Arial" w:cs="Arial" w:eastAsia="Arial" w:hAnsi="Arial"/>
          <w:sz w:val="18"/>
          <w:szCs w:val="18"/>
          <w:color w:val="auto"/>
        </w:rPr>
        <w:t>consist primarily of affiliate commissions earned on transactions initiated from our editorial shopping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from our product licensing businesses are also included here. Additionally, we generate other revenues from the production of live and virtual events such as ComplexCon and ComplexLand.</w:t>
      </w:r>
    </w:p>
    <w:p>
      <w:pPr>
        <w:spacing w:after="0" w:line="198" w:lineRule="exact"/>
        <w:rPr>
          <w:rFonts w:ascii="Arial" w:cs="Arial" w:eastAsia="Arial" w:hAnsi="Arial"/>
          <w:sz w:val="18"/>
          <w:szCs w:val="18"/>
          <w:color w:val="auto"/>
        </w:rPr>
      </w:pPr>
    </w:p>
    <w:p>
      <w:pPr>
        <w:ind w:left="660" w:right="160" w:hanging="328"/>
        <w:spacing w:after="0" w:line="230" w:lineRule="auto"/>
        <w:tabs>
          <w:tab w:leader="none" w:pos="647"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Time Spent </w:t>
      </w:r>
      <w:r>
        <w:rPr>
          <w:rFonts w:ascii="Arial" w:cs="Arial" w:eastAsia="Arial" w:hAnsi="Arial"/>
          <w:sz w:val="17"/>
          <w:szCs w:val="17"/>
          <w:color w:val="auto"/>
        </w:rPr>
        <w:t>captures the time audiences spend engaging with our content across our owned and operated sites, as well as YouTube and Apple</w:t>
      </w:r>
      <w:r>
        <w:rPr>
          <w:rFonts w:ascii="Arial" w:cs="Arial" w:eastAsia="Arial" w:hAnsi="Arial"/>
          <w:sz w:val="17"/>
          <w:szCs w:val="17"/>
          <w:b w:val="1"/>
          <w:bCs w:val="1"/>
          <w:color w:val="auto"/>
        </w:rPr>
        <w:t xml:space="preserve"> </w:t>
      </w:r>
      <w:r>
        <w:rPr>
          <w:rFonts w:ascii="Arial" w:cs="Arial" w:eastAsia="Arial" w:hAnsi="Arial"/>
          <w:sz w:val="17"/>
          <w:szCs w:val="17"/>
          <w:color w:val="auto"/>
        </w:rPr>
        <w:t>News, as measured by Comscore, and on Facebook, as reported by Facebook. This metric excludes time spent with our content on platforms for which we do not have advertising capabilities that materially contribute to our Advertising revenues, including TikTok, Instagram, Snapchat and Twitter. There are inherent challenges in measuring the total actual number of hours spent with our content across all platforms; however, we consider the data reported by Comscore and Facebook to represent industry-standard estimates of the time actually spent on our largest distribution platforms with our most significant monetization opportunities.</w:t>
      </w:r>
    </w:p>
    <w:p>
      <w:pPr>
        <w:sectPr>
          <w:pgSz w:w="11900" w:h="16838" w:orient="portrait"/>
          <w:cols w:equalWidth="0" w:num="1">
            <w:col w:w="11220"/>
          </w:cols>
          <w:pgMar w:left="320" w:top="140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BuzzFeed, Inc.</w:t>
      </w:r>
    </w:p>
    <w:p>
      <w:pPr>
        <w:spacing w:after="0" w:line="16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BuzzFeed, Inc. is home to the best of the internet. </w:t>
      </w:r>
      <w:r>
        <w:rPr>
          <w:rFonts w:ascii="Arial" w:cs="Arial" w:eastAsia="Arial" w:hAnsi="Arial"/>
          <w:sz w:val="16"/>
          <w:szCs w:val="16"/>
          <w:color w:val="222222"/>
        </w:rPr>
        <w:t>Across food, news, pop culture and commerce, our brands drive conversation and inspire what audiences</w:t>
      </w:r>
      <w:r>
        <w:rPr>
          <w:rFonts w:ascii="Arial" w:cs="Arial" w:eastAsia="Arial" w:hAnsi="Arial"/>
          <w:sz w:val="16"/>
          <w:szCs w:val="16"/>
          <w:color w:val="auto"/>
        </w:rPr>
        <w:t xml:space="preserve"> </w:t>
      </w:r>
      <w:r>
        <w:rPr>
          <w:rFonts w:ascii="Arial" w:cs="Arial" w:eastAsia="Arial" w:hAnsi="Arial"/>
          <w:sz w:val="16"/>
          <w:szCs w:val="16"/>
          <w:color w:val="222222"/>
        </w:rPr>
        <w:t>watch, read, and buy now, and into the future. Born on the internet in 2006, BuzzFeed, Inc. is committed to making it better: providing trusted, quality, brand-safe news and entertainment to hundreds of millions of people; making content on the internet more inclusive, empathetic, and creative;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22222"/>
        </w:rPr>
        <w:t>inspiring our audience to live better lives.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Adjusted EBITDA and Adjusted EBITDA margin are non-GAAP financial measures and represent key metrics used by management and our board of</w:t>
      </w:r>
    </w:p>
    <w:p>
      <w:pPr>
        <w:spacing w:after="0" w:line="10"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directors to measure the operational strength and performance of our business, to establish budgets, and to develop operational goals for managing our business. We define Adjusted EBITDA as net (loss) income, excluding the impact of net (loss) income attributable to noncontrolling interests, income tax (benefit) provision, interest expense, net, other (income) expense, net, depreciation and amortization, stock-based compensation, change in fair value of</w:t>
      </w:r>
    </w:p>
    <w:p>
      <w:pPr>
        <w:spacing w:after="0" w:line="2" w:lineRule="exact"/>
        <w:rPr>
          <w:sz w:val="20"/>
          <w:szCs w:val="20"/>
          <w:color w:val="auto"/>
        </w:rPr>
      </w:pPr>
    </w:p>
    <w:p>
      <w:pPr>
        <w:ind w:right="140"/>
        <w:spacing w:after="0" w:line="218" w:lineRule="auto"/>
        <w:rPr>
          <w:sz w:val="20"/>
          <w:szCs w:val="20"/>
          <w:color w:val="auto"/>
        </w:rPr>
      </w:pPr>
      <w:r>
        <w:rPr>
          <w:rFonts w:ascii="Arial" w:cs="Arial" w:eastAsia="Arial" w:hAnsi="Arial"/>
          <w:sz w:val="18"/>
          <w:szCs w:val="18"/>
          <w:color w:val="auto"/>
        </w:rPr>
        <w:t>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 Adjusted EBITDA margin is calculated by dividing Adjusted EBITDA by revenue for the same period.</w:t>
      </w:r>
    </w:p>
    <w:p>
      <w:pPr>
        <w:spacing w:after="0" w:line="203" w:lineRule="exact"/>
        <w:rPr>
          <w:sz w:val="20"/>
          <w:szCs w:val="20"/>
          <w:color w:val="auto"/>
        </w:rPr>
      </w:pPr>
    </w:p>
    <w:p>
      <w:pPr>
        <w:ind w:right="360"/>
        <w:spacing w:after="0" w:line="241" w:lineRule="auto"/>
        <w:rPr>
          <w:sz w:val="20"/>
          <w:szCs w:val="20"/>
          <w:color w:val="auto"/>
        </w:rPr>
      </w:pPr>
      <w:r>
        <w:rPr>
          <w:rFonts w:ascii="Arial" w:cs="Arial" w:eastAsia="Arial" w:hAnsi="Arial"/>
          <w:sz w:val="16"/>
          <w:szCs w:val="16"/>
          <w:color w:val="auto"/>
        </w:rPr>
        <w:t>We believe Adjusted EBITDA and Adjusted EBITDA margin are relevant and useful information for investors because they allow investors to view performance in a manner similar to the method used by our management. There are limitations to the use of Adjusted EBITDA and Adjusted EBITDA margin and our Adjusted EBITDA and Adjusted EBITDA margin may not be comparable to similarly titled measures of other companies. Other</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companies, including companies in our industry, may calculate non-GAAP financial measures differently than we do, limiting the usefulness of those measures for comparative purposes.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and Adjusted EBITDA margin should not be considered a substitute for measures prepared in accordance with GAAP. Reconciliations</w:t>
      </w:r>
    </w:p>
    <w:p>
      <w:pPr>
        <w:spacing w:after="0" w:line="2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of non-GAAP financial measures to the most directly comparable financial results as determined in accordance with GAAP are included at the end of this press release following the accompanying financial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60"/>
        <w:spacing w:after="0" w:line="241" w:lineRule="auto"/>
        <w:rPr>
          <w:sz w:val="20"/>
          <w:szCs w:val="20"/>
          <w:color w:val="auto"/>
        </w:rPr>
      </w:pPr>
      <w:r>
        <w:rPr>
          <w:rFonts w:ascii="Arial" w:cs="Arial" w:eastAsia="Arial" w:hAnsi="Arial"/>
          <w:sz w:val="16"/>
          <w:szCs w:val="16"/>
          <w:color w:val="auto"/>
        </w:rPr>
        <w:t>Certain statements in this press release may be considered forward-looking statements within the meaning of Section 27A of the Securities Act of 1933, as amended, and Section 21E of the Securities Exchange Act of 1934, as amended, which statements involve substantial risks and uncertainties. Our forward-looking statements include, but are not limited to, statements regarding our management team’s expectations, hopes, beliefs, intentions or strategies</w:t>
      </w:r>
    </w:p>
    <w:p>
      <w:pPr>
        <w:spacing w:after="0" w:line="2" w:lineRule="exact"/>
        <w:rPr>
          <w:sz w:val="20"/>
          <w:szCs w:val="20"/>
          <w:color w:val="auto"/>
        </w:rPr>
      </w:pPr>
    </w:p>
    <w:p>
      <w:pPr>
        <w:ind w:right="100"/>
        <w:spacing w:after="0" w:line="221" w:lineRule="auto"/>
        <w:rPr>
          <w:sz w:val="20"/>
          <w:szCs w:val="20"/>
          <w:color w:val="auto"/>
        </w:rPr>
      </w:pPr>
      <w:r>
        <w:rPr>
          <w:rFonts w:ascii="Arial" w:cs="Arial" w:eastAsia="Arial" w:hAnsi="Arial"/>
          <w:sz w:val="17"/>
          <w:szCs w:val="17"/>
          <w:color w:val="auto"/>
        </w:rPr>
        <w:t>regarding the future. In addition, any statements that refer to projections, forecasts (including our outlook for Q1 2023) or other characterizations of future events or circumstances, including any underlying assumptions, are forward-looking statements. The words “anticipate,” “affect,” “believe,” “can,” “contemplate,” “continue,” “could,” “estimate,” “expect,” “forecast,” “intend,” “may,” “might,” “plan,” “possible,” “potential,” “predict,” “project,”</w:t>
      </w:r>
    </w:p>
    <w:p>
      <w:pPr>
        <w:ind w:right="20"/>
        <w:spacing w:after="0" w:line="234" w:lineRule="auto"/>
        <w:rPr>
          <w:sz w:val="20"/>
          <w:szCs w:val="20"/>
          <w:color w:val="auto"/>
        </w:rPr>
      </w:pPr>
      <w:r>
        <w:rPr>
          <w:rFonts w:ascii="Arial" w:cs="Arial" w:eastAsia="Arial" w:hAnsi="Arial"/>
          <w:sz w:val="16"/>
          <w:szCs w:val="16"/>
          <w:color w:val="auto"/>
        </w:rPr>
        <w:t>“seek,” “should,” “target,” “will,” “would” and similar expressions may identify forward-looking statements, but the absence of these words does not mean that a statement is not forward-looking. Forward-looking statements may include, for example, statements about: (1) anticipated trends, growth rates, and challenges in our business and in the markets in which we operate; (2) demand for products and services and changes in traffic; (3) changes in the business</w:t>
      </w:r>
    </w:p>
    <w:p>
      <w:pPr>
        <w:spacing w:after="0" w:line="2"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auto"/>
        </w:rPr>
        <w:t>and competitive environment in which we operate; (4) developments and projections relating to our competitors and the digital media industry; (5) the impact of national and local economic and other conditions and developments in technology, each of which could influence the levels (rate and volume) of our advertising, the growth of our business and the implementation of our strategic initiatives; (6) poor quality broadband infrastructure in certain markets;</w:t>
      </w:r>
    </w:p>
    <w:p>
      <w:pPr>
        <w:spacing w:after="0" w:line="2" w:lineRule="exact"/>
        <w:rPr>
          <w:sz w:val="20"/>
          <w:szCs w:val="20"/>
          <w:color w:val="auto"/>
        </w:rPr>
      </w:pPr>
    </w:p>
    <w:p>
      <w:pPr>
        <w:ind w:firstLine="8"/>
        <w:spacing w:after="0" w:line="234"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technological developments including artificial intelligence; (8) our success in retaining or recruiting, or changes required in, officers, key employees or directors; (9) our business, operations and financial performance, including expectations with respect to our financial and business performance, including financial projections and business metrics and any underlying assumptions thereunder and future business plans and initiatives and growth opportunities;</w:t>
      </w:r>
    </w:p>
    <w:p>
      <w:pPr>
        <w:spacing w:after="0" w:line="1" w:lineRule="exact"/>
        <w:rPr>
          <w:rFonts w:ascii="Arial" w:cs="Arial" w:eastAsia="Arial" w:hAnsi="Arial"/>
          <w:sz w:val="16"/>
          <w:szCs w:val="16"/>
          <w:color w:val="auto"/>
        </w:rPr>
      </w:pPr>
    </w:p>
    <w:p>
      <w:pPr>
        <w:ind w:right="60" w:firstLine="8"/>
        <w:spacing w:after="0" w:line="227" w:lineRule="auto"/>
        <w:tabs>
          <w:tab w:leader="none" w:pos="34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future capital requirements and sources and uses of cash, including, but not limited to, our ability to obtain additional capital in the future in a higher interest rate environment and any impacts of bank failures or any restrictions on our ability to access our cash and cash equivalents; (11) expectations regarding future acquisitions, partnerships or other relationships with third parties; (12) developments in the law and government regulation, including, but not limited to, revised foreign content and ownership regulations; (13) the anticipated impacts of current global supply chain disruptions, further escalation of tensions between Russia and Western countries and the related sanctions and geopolitical tensions, as well as further escalation of trade tensions between the United States and China; the inflationary environment; the tight labor market; the continued impact of the COVID-19 pandemic and evolving strains of COVID-19; and other macroeconomic factors on our business and</w:t>
      </w:r>
    </w:p>
    <w:p>
      <w:pPr>
        <w:sectPr>
          <w:pgSz w:w="11900" w:h="16838" w:orient="portrait"/>
          <w:cols w:equalWidth="0" w:num="1">
            <w:col w:w="11220"/>
          </w:cols>
          <w:pgMar w:left="320" w:top="1404" w:right="359" w:bottom="1440" w:gutter="0" w:footer="0" w:header="0"/>
        </w:sectPr>
      </w:pPr>
    </w:p>
    <w:bookmarkStart w:id="7" w:name="page8"/>
    <w:bookmarkEnd w:id="7"/>
    <w:p>
      <w:pPr>
        <w:jc w:val="both"/>
        <w:ind w:right="380"/>
        <w:spacing w:after="0" w:line="220" w:lineRule="auto"/>
        <w:rPr>
          <w:sz w:val="20"/>
          <w:szCs w:val="20"/>
          <w:color w:val="auto"/>
        </w:rPr>
      </w:pPr>
      <w:r>
        <w:rPr>
          <w:rFonts w:ascii="Arial" w:cs="Arial" w:eastAsia="Arial" w:hAnsi="Arial"/>
          <w:sz w:val="18"/>
          <w:szCs w:val="18"/>
          <w:color w:val="auto"/>
        </w:rPr>
        <w:t>the actions we may take in the future in response thereto; and (14) our ability to maintain the listing of our Class A common stock and warrants on the Nasdaq Stock Market LLC.</w:t>
      </w:r>
    </w:p>
    <w:p>
      <w:pPr>
        <w:spacing w:after="0" w:line="1" w:lineRule="exact"/>
        <w:rPr>
          <w:sz w:val="20"/>
          <w:szCs w:val="20"/>
          <w:color w:val="auto"/>
        </w:rPr>
      </w:pPr>
    </w:p>
    <w:p>
      <w:pPr>
        <w:jc w:val="both"/>
        <w:ind w:right="380"/>
        <w:spacing w:after="0" w:line="234" w:lineRule="auto"/>
        <w:rPr>
          <w:sz w:val="20"/>
          <w:szCs w:val="20"/>
          <w:color w:val="auto"/>
        </w:rPr>
      </w:pPr>
      <w:r>
        <w:rPr>
          <w:rFonts w:ascii="Arial" w:cs="Arial" w:eastAsia="Arial" w:hAnsi="Arial"/>
          <w:sz w:val="16"/>
          <w:szCs w:val="16"/>
          <w:color w:val="auto"/>
        </w:rPr>
        <w:t>The forward-looking statements contained in this press release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performance to be materially different from those expressed or implied by these forward-looking statements. These risks and uncertainties include, but are not limited to, those factors described under the sections entitled “Risk Factors” in the Company’s filings with the Securities and Exchange Commission. Should one or more of these risks or uncertainties materialize, or should any of our assumptions prove incorrect, actual results may vary in material</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 xml:space="preserve">Media </w:t>
      </w:r>
      <w:r>
        <w:rPr>
          <w:rFonts w:ascii="Arial" w:cs="Arial" w:eastAsia="Arial" w:hAnsi="Arial"/>
          <w:sz w:val="18"/>
          <w:szCs w:val="18"/>
          <w:b w:val="1"/>
          <w:bCs w:val="1"/>
          <w:color w:val="000000"/>
        </w:rPr>
        <w:t>Contact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12121"/>
        </w:rPr>
        <w:t xml:space="preserve">Carole Robinson, BuzzFeed: </w:t>
      </w:r>
      <w:r>
        <w:rPr>
          <w:rFonts w:ascii="Arial" w:cs="Arial" w:eastAsia="Arial" w:hAnsi="Arial"/>
          <w:sz w:val="18"/>
          <w:szCs w:val="18"/>
          <w:u w:val="single" w:color="auto"/>
          <w:color w:val="1155CC"/>
        </w:rPr>
        <w:t>carole.robinson@buzzfeed.com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rPr>
          <w:sz w:val="20"/>
          <w:szCs w:val="20"/>
          <w:color w:val="auto"/>
        </w:rPr>
      </w:pPr>
      <w:r>
        <w:rPr>
          <w:rFonts w:ascii="Arial" w:cs="Arial" w:eastAsia="Arial" w:hAnsi="Arial"/>
          <w:sz w:val="18"/>
          <w:szCs w:val="18"/>
          <w:color w:val="auto"/>
        </w:rPr>
        <w:t xml:space="preserve">Amita Tomkoria, BuzzFeed: </w:t>
      </w:r>
      <w:r>
        <w:rPr>
          <w:rFonts w:ascii="Arial" w:cs="Arial" w:eastAsia="Arial" w:hAnsi="Arial"/>
          <w:sz w:val="18"/>
          <w:szCs w:val="18"/>
          <w:u w:val="single" w:color="auto"/>
          <w:color w:val="1155CC"/>
        </w:rPr>
        <w:t>investors@buzzfeed.com</w:t>
      </w:r>
    </w:p>
    <w:p>
      <w:pPr>
        <w:sectPr>
          <w:pgSz w:w="11900" w:h="16838" w:orient="portrait"/>
          <w:cols w:equalWidth="0" w:num="1">
            <w:col w:w="11200"/>
          </w:cols>
          <w:pgMar w:left="320" w:top="1408" w:right="379" w:bottom="1440" w:gutter="0" w:footer="0" w:header="0"/>
        </w:sectPr>
      </w:pPr>
    </w:p>
    <w:bookmarkStart w:id="8" w:name="page9"/>
    <w:bookmarkEnd w:id="8"/>
    <w:p>
      <w:pPr>
        <w:ind w:left="4840"/>
        <w:spacing w:after="0"/>
        <w:rPr>
          <w:sz w:val="20"/>
          <w:szCs w:val="20"/>
          <w:color w:val="auto"/>
        </w:rPr>
      </w:pPr>
      <w:r>
        <w:rPr>
          <w:rFonts w:ascii="Arial" w:cs="Arial" w:eastAsia="Arial" w:hAnsi="Arial"/>
          <w:sz w:val="20"/>
          <w:szCs w:val="20"/>
          <w:b w:val="1"/>
          <w:bCs w:val="1"/>
          <w:color w:val="auto"/>
        </w:rPr>
        <w:t>BUZZFEED, INC.</w:t>
      </w:r>
    </w:p>
    <w:p>
      <w:pPr>
        <w:ind w:left="4760"/>
        <w:spacing w:after="0" w:line="197" w:lineRule="auto"/>
        <w:rPr>
          <w:sz w:val="20"/>
          <w:szCs w:val="20"/>
          <w:color w:val="auto"/>
        </w:rPr>
      </w:pPr>
      <w:r>
        <w:rPr>
          <w:rFonts w:ascii="Arial" w:cs="Arial" w:eastAsia="Arial" w:hAnsi="Arial"/>
          <w:sz w:val="20"/>
          <w:szCs w:val="20"/>
          <w:b w:val="1"/>
          <w:bCs w:val="1"/>
          <w:color w:val="auto"/>
        </w:rPr>
        <w:t>Financial Highlights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Three Months Ended December</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USD in thousands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32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50,534</w:t>
            </w:r>
          </w:p>
        </w:tc>
        <w:tc>
          <w:tcPr>
            <w:tcW w:w="1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69,101</w:t>
            </w:r>
          </w:p>
        </w:tc>
        <w:tc>
          <w:tcPr>
            <w:tcW w:w="12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202,830</w:t>
            </w:r>
          </w:p>
        </w:tc>
        <w:tc>
          <w:tcPr>
            <w:tcW w:w="1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205,794</w:t>
            </w: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Content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54,771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59,939</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165,750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130,200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3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Commerce and other</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29,318</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16,676</w:t>
            </w:r>
          </w:p>
        </w:tc>
        <w:tc>
          <w:tcPr>
            <w:tcW w:w="1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68,094</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61,570</w:t>
            </w:r>
          </w:p>
        </w:tc>
        <w:tc>
          <w:tcPr>
            <w:tcW w:w="1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134,623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145,716</w:t>
            </w:r>
          </w:p>
        </w:tc>
        <w:tc>
          <w:tcPr>
            <w:tcW w:w="120" w:type="dxa"/>
            <w:vAlign w:val="bottom"/>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436,674</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397,564</w:t>
            </w:r>
          </w:p>
        </w:tc>
        <w:tc>
          <w:tcPr>
            <w:tcW w:w="120" w:type="dxa"/>
            <w:vAlign w:val="bottom"/>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(106,036)</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(7,337)</w:t>
            </w:r>
          </w:p>
        </w:tc>
        <w:tc>
          <w:tcPr>
            <w:tcW w:w="1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gridSpan w:val="2"/>
            <w:shd w:val="clear" w:color="auto" w:fill="CFF0FC"/>
          </w:tcPr>
          <w:p>
            <w:pPr>
              <w:ind w:left="90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(184,307)</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(25,154)</w:t>
            </w:r>
          </w:p>
        </w:tc>
        <w:tc>
          <w:tcPr>
            <w:tcW w:w="1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(106,186)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41,572</w:t>
            </w:r>
          </w:p>
        </w:tc>
        <w:tc>
          <w:tcPr>
            <w:tcW w:w="120" w:type="dxa"/>
            <w:vAlign w:val="bottom"/>
          </w:tcPr>
          <w:p>
            <w:pPr>
              <w:spacing w:after="0"/>
              <w:rPr>
                <w:sz w:val="22"/>
                <w:szCs w:val="22"/>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(201,326)</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25,876</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17,555</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34,209</w:t>
            </w: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41,516</w:t>
            </w: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0"/>
        </w:trPr>
        <w:tc>
          <w:tcPr>
            <w:tcW w:w="31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NM: Not Meaningful</w:t>
      </w:r>
    </w:p>
    <w:p>
      <w:pPr>
        <w:sectPr>
          <w:pgSz w:w="11900" w:h="16838" w:orient="portrait"/>
          <w:cols w:equalWidth="0" w:num="1">
            <w:col w:w="11240"/>
          </w:cols>
          <w:pgMar w:left="320" w:top="1394" w:right="339" w:bottom="1440" w:gutter="0" w:footer="0" w:header="0"/>
        </w:sectPr>
      </w:pPr>
    </w:p>
    <w:bookmarkStart w:id="9" w:name="page10"/>
    <w:bookmarkEnd w:id="9"/>
    <w:p>
      <w:pPr>
        <w:ind w:left="4840"/>
        <w:spacing w:after="0"/>
        <w:rPr>
          <w:sz w:val="20"/>
          <w:szCs w:val="20"/>
          <w:color w:val="auto"/>
        </w:rPr>
      </w:pPr>
      <w:r>
        <w:rPr>
          <w:rFonts w:ascii="Arial" w:cs="Arial" w:eastAsia="Arial" w:hAnsi="Arial"/>
          <w:sz w:val="20"/>
          <w:szCs w:val="20"/>
          <w:b w:val="1"/>
          <w:bCs w:val="1"/>
          <w:color w:val="auto"/>
        </w:rPr>
        <w:t>BUZZFEED, INC.</w:t>
      </w:r>
    </w:p>
    <w:p>
      <w:pPr>
        <w:ind w:left="4420"/>
        <w:spacing w:after="0" w:line="197" w:lineRule="auto"/>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5"/>
                <w:szCs w:val="15"/>
                <w:color w:val="auto"/>
              </w:rPr>
            </w:pPr>
          </w:p>
        </w:tc>
        <w:tc>
          <w:tcPr>
            <w:tcW w:w="1320" w:type="dxa"/>
            <w:vAlign w:val="bottom"/>
          </w:tcPr>
          <w:p>
            <w:pPr>
              <w:jc w:val="right"/>
              <w:ind w:right="313"/>
              <w:spacing w:after="0"/>
              <w:rPr>
                <w:sz w:val="20"/>
                <w:szCs w:val="20"/>
                <w:color w:val="auto"/>
              </w:rPr>
            </w:pPr>
            <w:r>
              <w:rPr>
                <w:rFonts w:ascii="Arial" w:cs="Arial" w:eastAsia="Arial" w:hAnsi="Arial"/>
                <w:sz w:val="13"/>
                <w:szCs w:val="13"/>
                <w:b w:val="1"/>
                <w:bCs w:val="1"/>
                <w:color w:val="auto"/>
              </w:rPr>
              <w:t>December 31,</w:t>
            </w:r>
          </w:p>
        </w:tc>
      </w:tr>
      <w:tr>
        <w:trPr>
          <w:trHeight w:val="189"/>
        </w:trPr>
        <w:tc>
          <w:tcPr>
            <w:tcW w:w="8020" w:type="dxa"/>
            <w:vAlign w:val="bottom"/>
            <w:gridSpan w:val="2"/>
          </w:tcPr>
          <w:p>
            <w:pPr>
              <w:ind w:left="20"/>
              <w:spacing w:after="0"/>
              <w:rPr>
                <w:sz w:val="20"/>
                <w:szCs w:val="20"/>
                <w:color w:val="auto"/>
              </w:rPr>
            </w:pPr>
            <w:r>
              <w:rPr>
                <w:rFonts w:ascii="Arial" w:cs="Arial" w:eastAsia="Arial" w:hAnsi="Arial"/>
                <w:sz w:val="13"/>
                <w:szCs w:val="13"/>
                <w:i w:val="1"/>
                <w:iCs w:val="1"/>
                <w:color w:val="auto"/>
              </w:rPr>
              <w:t>USD in thousands</w:t>
            </w:r>
          </w:p>
        </w:tc>
        <w:tc>
          <w:tcPr>
            <w:tcW w:w="240" w:type="dxa"/>
            <w:vAlign w:val="bottom"/>
          </w:tcPr>
          <w:p>
            <w:pPr>
              <w:spacing w:after="0"/>
              <w:rPr>
                <w:sz w:val="16"/>
                <w:szCs w:val="16"/>
                <w:color w:val="auto"/>
              </w:rPr>
            </w:pPr>
          </w:p>
        </w:tc>
        <w:tc>
          <w:tcPr>
            <w:tcW w:w="1320" w:type="dxa"/>
            <w:vAlign w:val="bottom"/>
          </w:tcPr>
          <w:p>
            <w:pPr>
              <w:jc w:val="right"/>
              <w:ind w:right="57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73"/>
              <w:spacing w:after="0"/>
              <w:rPr>
                <w:sz w:val="20"/>
                <w:szCs w:val="20"/>
                <w:color w:val="auto"/>
              </w:rPr>
            </w:pPr>
            <w:r>
              <w:rPr>
                <w:rFonts w:ascii="Arial" w:cs="Arial" w:eastAsia="Arial" w:hAnsi="Arial"/>
                <w:sz w:val="13"/>
                <w:szCs w:val="13"/>
                <w:b w:val="1"/>
                <w:bCs w:val="1"/>
                <w:color w:val="auto"/>
              </w:rPr>
              <w:t>2021</w:t>
            </w:r>
          </w:p>
        </w:tc>
      </w:tr>
      <w:tr>
        <w:trPr>
          <w:trHeight w:val="28"/>
        </w:trPr>
        <w:tc>
          <w:tcPr>
            <w:tcW w:w="7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02"/>
        </w:trPr>
        <w:tc>
          <w:tcPr>
            <w:tcW w:w="8020" w:type="dxa"/>
            <w:vAlign w:val="bottom"/>
            <w:gridSpan w:val="2"/>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55,774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79,733</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Accounts receivable (net of allowance for doubtful accounts of $1,879, and $1,094 as at December 31, 2022 and 2021)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116,460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142,909</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26,373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29,017</w:t>
            </w:r>
          </w:p>
        </w:tc>
      </w:tr>
      <w:tr>
        <w:trPr>
          <w:trHeight w:val="195"/>
        </w:trPr>
        <w:tc>
          <w:tcPr>
            <w:tcW w:w="8020" w:type="dxa"/>
            <w:vAlign w:val="bottom"/>
            <w:gridSpan w:val="2"/>
          </w:tcPr>
          <w:p>
            <w:pPr>
              <w:ind w:left="20"/>
              <w:spacing w:after="0"/>
              <w:rPr>
                <w:sz w:val="20"/>
                <w:szCs w:val="20"/>
                <w:color w:val="auto"/>
              </w:rPr>
            </w:pPr>
            <w:r>
              <w:rPr>
                <w:rFonts w:ascii="Arial" w:cs="Arial" w:eastAsia="Arial" w:hAnsi="Arial"/>
                <w:sz w:val="13"/>
                <w:szCs w:val="13"/>
                <w:color w:val="auto"/>
              </w:rPr>
              <w:t>Total current assets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198,607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251,659</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Property and equipment, net</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17,774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23,052</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Right-of-use assets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66,581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Capitalized software costs, net</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16,554</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Intangible assets, net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121,329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136,513</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Goodwill</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91,632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194,881</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14,790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14,555</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637,214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02"/>
        </w:trPr>
        <w:tc>
          <w:tcPr>
            <w:tcW w:w="8020" w:type="dxa"/>
            <w:vAlign w:val="bottom"/>
            <w:gridSpan w:val="2"/>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29,329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16,025</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Accrued expenses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26,357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31,386</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Deferred rent</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4,894</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Deferred revenue</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8,836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1,676</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Accrued compensation</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31,052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37,434</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Current lease liabilities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23,398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Other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2,731</w:t>
            </w:r>
          </w:p>
        </w:tc>
      </w:tr>
      <w:tr>
        <w:trPr>
          <w:trHeight w:val="195"/>
        </w:trPr>
        <w:tc>
          <w:tcPr>
            <w:tcW w:w="8020" w:type="dxa"/>
            <w:vAlign w:val="bottom"/>
            <w:gridSpan w:val="2"/>
          </w:tcPr>
          <w:p>
            <w:pPr>
              <w:ind w:left="20"/>
              <w:spacing w:after="0"/>
              <w:rPr>
                <w:sz w:val="20"/>
                <w:szCs w:val="20"/>
                <w:color w:val="auto"/>
              </w:rPr>
            </w:pPr>
            <w:r>
              <w:rPr>
                <w:rFonts w:ascii="Arial" w:cs="Arial" w:eastAsia="Arial" w:hAnsi="Arial"/>
                <w:sz w:val="13"/>
                <w:szCs w:val="13"/>
                <w:color w:val="auto"/>
              </w:rPr>
              <w:t>Total current liabilities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122,872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94,146</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Deferred rent</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12,504</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Noncurrent lease liabilities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59,315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Debt</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152,253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141,878</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Derivative liability</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4,875</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Warrant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4,938</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Other liabilities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3,992</w:t>
            </w:r>
          </w:p>
        </w:tc>
      </w:tr>
      <w:tr>
        <w:trPr>
          <w:trHeight w:val="28"/>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335,418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262,333</w:t>
            </w:r>
          </w:p>
        </w:tc>
      </w:t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9"/>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Commitments and contingencies</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Redeemable noncontrolling interest</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2,294</w:t>
            </w:r>
          </w:p>
        </w:tc>
      </w:t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w w:val="96"/>
              </w:rPr>
              <w:t>Class A Common stock, $0.0001 par value; 700,000 shares authorized; 126,387 and 116,175 shares issued and outstanding at December 31,</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8020" w:type="dxa"/>
            <w:vAlign w:val="bottom"/>
            <w:gridSpan w:val="2"/>
          </w:tcPr>
          <w:p>
            <w:pPr>
              <w:ind w:left="240"/>
              <w:spacing w:after="0"/>
              <w:rPr>
                <w:sz w:val="20"/>
                <w:szCs w:val="20"/>
                <w:color w:val="auto"/>
              </w:rPr>
            </w:pPr>
            <w:r>
              <w:rPr>
                <w:rFonts w:ascii="Arial" w:cs="Arial" w:eastAsia="Arial" w:hAnsi="Arial"/>
                <w:sz w:val="13"/>
                <w:szCs w:val="13"/>
                <w:color w:val="auto"/>
              </w:rPr>
              <w:t>2022 and 2021, respectively</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2"/>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5"/>
              </w:rPr>
              <w:t>Class B Common stock, $0.0001 par value; 20,000 shares authorized; 6,678 and 12,397 shares issued and outstanding at December 31, 2022</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6"/>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and 2021,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w w:val="96"/>
              </w:rPr>
              <w:t>Class C Common stock, $0.0001 par value; 10,000 shares authorized; 6,478 shares issued and outstanding at December 31, 2022 and 2021</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716,233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695,869</w:t>
            </w:r>
          </w:p>
        </w:tc>
      </w:tr>
      <w:tr>
        <w:trPr>
          <w:trHeight w:val="202"/>
        </w:trPr>
        <w:tc>
          <w:tcPr>
            <w:tcW w:w="802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(523,063)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(322,106)</w:t>
            </w:r>
          </w:p>
        </w:tc>
      </w:tr>
      <w:tr>
        <w:trPr>
          <w:trHeight w:val="28"/>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r>
      <w:tr>
        <w:trPr>
          <w:trHeight w:val="195"/>
        </w:trPr>
        <w:tc>
          <w:tcPr>
            <w:tcW w:w="8020" w:type="dxa"/>
            <w:vAlign w:val="bottom"/>
            <w:gridSpan w:val="2"/>
          </w:tcPr>
          <w:p>
            <w:pPr>
              <w:ind w:left="20"/>
              <w:spacing w:after="0"/>
              <w:rPr>
                <w:sz w:val="20"/>
                <w:szCs w:val="20"/>
                <w:color w:val="auto"/>
              </w:rPr>
            </w:pPr>
            <w:r>
              <w:rPr>
                <w:rFonts w:ascii="Arial" w:cs="Arial" w:eastAsia="Arial" w:hAnsi="Arial"/>
                <w:sz w:val="13"/>
                <w:szCs w:val="13"/>
                <w:color w:val="auto"/>
              </w:rPr>
              <w:t>Total BuzzFeed, Inc. stockholders’ equity</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191,217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370,543</w:t>
            </w:r>
          </w:p>
        </w:tc>
      </w:tr>
      <w:tr>
        <w:trPr>
          <w:trHeight w:val="28"/>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3,337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2,044</w:t>
            </w:r>
          </w:p>
        </w:tc>
      </w:tr>
      <w:tr>
        <w:trPr>
          <w:trHeight w:val="196"/>
        </w:trPr>
        <w:tc>
          <w:tcPr>
            <w:tcW w:w="8020" w:type="dxa"/>
            <w:vAlign w:val="bottom"/>
            <w:gridSpan w:val="2"/>
          </w:tcPr>
          <w:p>
            <w:pPr>
              <w:ind w:left="2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194,554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372,587</w:t>
            </w:r>
          </w:p>
        </w:tc>
      </w:tr>
      <w:tr>
        <w:trPr>
          <w:trHeight w:val="28"/>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637,214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94" w:right="339" w:bottom="1440" w:gutter="0" w:footer="0" w:header="0"/>
        </w:sectPr>
      </w:pPr>
    </w:p>
    <w:bookmarkStart w:id="10" w:name="page11"/>
    <w:bookmarkEnd w:id="10"/>
    <w:p>
      <w:pPr>
        <w:ind w:left="4840"/>
        <w:spacing w:after="0"/>
        <w:rPr>
          <w:sz w:val="20"/>
          <w:szCs w:val="20"/>
          <w:color w:val="auto"/>
        </w:rPr>
      </w:pPr>
      <w:r>
        <w:rPr>
          <w:rFonts w:ascii="Arial" w:cs="Arial" w:eastAsia="Arial" w:hAnsi="Arial"/>
          <w:sz w:val="20"/>
          <w:szCs w:val="20"/>
          <w:b w:val="1"/>
          <w:bCs w:val="1"/>
          <w:color w:val="auto"/>
        </w:rPr>
        <w:t>BUZZFEED, INC.</w:t>
      </w:r>
    </w:p>
    <w:p>
      <w:pPr>
        <w:ind w:left="3980"/>
        <w:spacing w:after="0" w:line="197" w:lineRule="auto"/>
        <w:rPr>
          <w:sz w:val="20"/>
          <w:szCs w:val="20"/>
          <w:color w:val="auto"/>
        </w:rPr>
      </w:pPr>
      <w:r>
        <w:rPr>
          <w:rFonts w:ascii="Arial" w:cs="Arial" w:eastAsia="Arial" w:hAnsi="Arial"/>
          <w:sz w:val="20"/>
          <w:szCs w:val="20"/>
          <w:b w:val="1"/>
          <w:bCs w:val="1"/>
          <w:color w:val="auto"/>
        </w:rPr>
        <w:t>Consolidated Statements of Operations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7"/>
              </w:rPr>
              <w:t>Three Months Ended December 31,</w:t>
            </w:r>
          </w:p>
        </w:tc>
        <w:tc>
          <w:tcPr>
            <w:tcW w:w="320" w:type="dxa"/>
            <w:vAlign w:val="bottom"/>
          </w:tcPr>
          <w:p>
            <w:pPr>
              <w:spacing w:after="0"/>
              <w:rPr>
                <w:sz w:val="20"/>
                <w:szCs w:val="20"/>
                <w:color w:val="auto"/>
              </w:rPr>
            </w:pPr>
          </w:p>
        </w:tc>
        <w:tc>
          <w:tcPr>
            <w:tcW w:w="1720" w:type="dxa"/>
            <w:vAlign w:val="bottom"/>
            <w:gridSpan w:val="3"/>
          </w:tcPr>
          <w:p>
            <w:pPr>
              <w:jc w:val="right"/>
              <w:ind w:right="39"/>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5"/>
            <w:vMerge w:val="continue"/>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USD in thousands</w:t>
            </w:r>
          </w:p>
        </w:tc>
        <w:tc>
          <w:tcPr>
            <w:tcW w:w="120" w:type="dxa"/>
            <w:vAlign w:val="bottom"/>
          </w:tcPr>
          <w:p>
            <w:pPr>
              <w:spacing w:after="0"/>
              <w:rPr>
                <w:sz w:val="21"/>
                <w:szCs w:val="21"/>
                <w:color w:val="auto"/>
              </w:rPr>
            </w:pPr>
          </w:p>
        </w:tc>
        <w:tc>
          <w:tcPr>
            <w:tcW w:w="1320" w:type="dxa"/>
            <w:vAlign w:val="bottom"/>
          </w:tcPr>
          <w:p>
            <w:pPr>
              <w:jc w:val="right"/>
              <w:ind w:right="458"/>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59"/>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8"/>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459"/>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40"/>
        </w:trPr>
        <w:tc>
          <w:tcPr>
            <w:tcW w:w="5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436,674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397,564</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Costs and Expenses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Cost of revenue, excluding 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261,815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207,397</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71,262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54,981</w:t>
            </w: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112,552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24,928</w:t>
            </w: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Impairment expense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5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620,981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422,718</w:t>
            </w:r>
          </w:p>
        </w:tc>
        <w:tc>
          <w:tcPr>
            <w:tcW w:w="0" w:type="dxa"/>
            <w:vAlign w:val="bottom"/>
          </w:tcPr>
          <w:p>
            <w:pPr>
              <w:spacing w:after="0"/>
              <w:rPr>
                <w:sz w:val="1"/>
                <w:szCs w:val="1"/>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(Loss) income from operations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(106,036)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(184,307)</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(25,154)</w:t>
            </w: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(expense)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Change in fair value of warrant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Change in fair value of derivative liability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26,745</w:t>
            </w:r>
          </w:p>
        </w:tc>
        <w:tc>
          <w:tcPr>
            <w:tcW w:w="0" w:type="dxa"/>
            <w:vAlign w:val="bottom"/>
          </w:tcPr>
          <w:p>
            <w:pPr>
              <w:spacing w:after="0"/>
              <w:rPr>
                <w:sz w:val="1"/>
                <w:szCs w:val="1"/>
                <w:color w:val="auto"/>
              </w:rPr>
            </w:pPr>
          </w:p>
        </w:tc>
      </w:tr>
      <w:tr>
        <w:trPr>
          <w:trHeight w:val="46"/>
        </w:trPr>
        <w:tc>
          <w:tcPr>
            <w:tcW w:w="5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Income tax provision (benefit)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(26,404)</w:t>
            </w:r>
          </w:p>
        </w:tc>
        <w:tc>
          <w:tcPr>
            <w:tcW w:w="0" w:type="dxa"/>
            <w:vAlign w:val="bottom"/>
          </w:tcPr>
          <w:p>
            <w:pPr>
              <w:spacing w:after="0"/>
              <w:rPr>
                <w:sz w:val="1"/>
                <w:szCs w:val="1"/>
                <w:color w:val="auto"/>
              </w:rPr>
            </w:pPr>
          </w:p>
        </w:tc>
      </w:tr>
      <w:tr>
        <w:trPr>
          <w:trHeight w:val="47"/>
        </w:trPr>
        <w:tc>
          <w:tcPr>
            <w:tcW w:w="5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25,876</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Net income attributable to the redeemable noncontrolling interest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(loss)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57"/>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Net (loss) income attributable to BuzzFeed,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(105,442)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40,447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(200,957)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24,712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attributable to holders of Class A, Class B and Class C common</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(105,442)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(200,957)</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24"/>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Net loss per Class A, Class B and Class C common share: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138,148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27,048</w:t>
            </w:r>
          </w:p>
        </w:tc>
        <w:tc>
          <w:tcPr>
            <w:tcW w:w="0" w:type="dxa"/>
            <w:vAlign w:val="bottom"/>
          </w:tcPr>
          <w:p>
            <w:pPr>
              <w:spacing w:after="0"/>
              <w:rPr>
                <w:sz w:val="1"/>
                <w:szCs w:val="1"/>
                <w:color w:val="auto"/>
              </w:rPr>
            </w:pPr>
          </w:p>
        </w:tc>
      </w:tr>
      <w:tr>
        <w:trPr>
          <w:trHeight w:val="47"/>
        </w:trPr>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28,001</w:t>
            </w:r>
          </w:p>
        </w:tc>
        <w:tc>
          <w:tcPr>
            <w:tcW w:w="0" w:type="dxa"/>
            <w:vAlign w:val="bottom"/>
          </w:tcPr>
          <w:p>
            <w:pPr>
              <w:spacing w:after="0"/>
              <w:rPr>
                <w:sz w:val="1"/>
                <w:szCs w:val="1"/>
                <w:color w:val="auto"/>
              </w:rPr>
            </w:pPr>
          </w:p>
        </w:tc>
      </w:tr>
      <w:tr>
        <w:trPr>
          <w:trHeight w:val="47"/>
        </w:trPr>
        <w:tc>
          <w:tcPr>
            <w:tcW w:w="5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4" w:right="339" w:bottom="1440" w:gutter="0" w:footer="0" w:header="0"/>
        </w:sectPr>
      </w:pPr>
    </w:p>
    <w:bookmarkStart w:id="11" w:name="page12"/>
    <w:bookmarkEnd w:id="11"/>
    <w:p>
      <w:pPr>
        <w:ind w:left="4840"/>
        <w:spacing w:after="0"/>
        <w:rPr>
          <w:sz w:val="20"/>
          <w:szCs w:val="20"/>
          <w:color w:val="auto"/>
        </w:rPr>
      </w:pPr>
      <w:r>
        <w:rPr>
          <w:rFonts w:ascii="Arial" w:cs="Arial" w:eastAsia="Arial" w:hAnsi="Arial"/>
          <w:sz w:val="20"/>
          <w:szCs w:val="20"/>
          <w:b w:val="1"/>
          <w:bCs w:val="1"/>
          <w:color w:val="auto"/>
        </w:rPr>
        <w:t>BUZZFEED, INC.</w:t>
      </w:r>
    </w:p>
    <w:p>
      <w:pPr>
        <w:spacing w:after="0" w:line="8"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6"/>
          </w:tcPr>
          <w:p>
            <w:pPr>
              <w:jc w:val="right"/>
              <w:ind w:right="197"/>
              <w:spacing w:after="0"/>
              <w:rPr>
                <w:sz w:val="20"/>
                <w:szCs w:val="20"/>
                <w:color w:val="auto"/>
              </w:rPr>
            </w:pPr>
            <w:r>
              <w:rPr>
                <w:rFonts w:ascii="Arial" w:cs="Arial" w:eastAsia="Arial" w:hAnsi="Arial"/>
                <w:sz w:val="13"/>
                <w:szCs w:val="13"/>
                <w:b w:val="1"/>
                <w:bCs w:val="1"/>
                <w:color w:val="auto"/>
              </w:rPr>
              <w:t>For the Year Ended December 31,</w:t>
            </w:r>
          </w:p>
        </w:tc>
        <w:tc>
          <w:tcPr>
            <w:tcW w:w="1200" w:type="dxa"/>
            <w:vAlign w:val="bottom"/>
          </w:tcPr>
          <w:p>
            <w:pPr>
              <w:spacing w:after="0"/>
              <w:rPr>
                <w:sz w:val="15"/>
                <w:szCs w:val="15"/>
                <w:color w:val="auto"/>
              </w:rPr>
            </w:pPr>
          </w:p>
        </w:tc>
      </w:tr>
      <w:tr>
        <w:trPr>
          <w:trHeight w:val="28"/>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360" w:type="dxa"/>
            <w:vAlign w:val="bottom"/>
          </w:tcPr>
          <w:p>
            <w:pPr>
              <w:ind w:left="20"/>
              <w:spacing w:after="0"/>
              <w:rPr>
                <w:sz w:val="20"/>
                <w:szCs w:val="20"/>
                <w:color w:val="auto"/>
              </w:rPr>
            </w:pPr>
            <w:r>
              <w:rPr>
                <w:rFonts w:ascii="Arial" w:cs="Arial" w:eastAsia="Arial" w:hAnsi="Arial"/>
                <w:sz w:val="13"/>
                <w:szCs w:val="13"/>
                <w:i w:val="1"/>
                <w:iCs w:val="1"/>
                <w:color w:val="auto"/>
              </w:rPr>
              <w:t>USD in thousands</w:t>
            </w:r>
          </w:p>
        </w:tc>
        <w:tc>
          <w:tcPr>
            <w:tcW w:w="360" w:type="dxa"/>
            <w:vAlign w:val="bottom"/>
          </w:tcPr>
          <w:p>
            <w:pPr>
              <w:spacing w:after="0"/>
              <w:rPr>
                <w:sz w:val="17"/>
                <w:szCs w:val="17"/>
                <w:color w:val="auto"/>
              </w:rPr>
            </w:pPr>
          </w:p>
        </w:tc>
        <w:tc>
          <w:tcPr>
            <w:tcW w:w="1200" w:type="dxa"/>
            <w:vAlign w:val="bottom"/>
          </w:tcPr>
          <w:p>
            <w:pPr>
              <w:jc w:val="right"/>
              <w:ind w:right="5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77"/>
              <w:spacing w:after="0"/>
              <w:rPr>
                <w:sz w:val="20"/>
                <w:szCs w:val="20"/>
                <w:color w:val="auto"/>
              </w:rPr>
            </w:pPr>
            <w:r>
              <w:rPr>
                <w:rFonts w:ascii="Arial" w:cs="Arial" w:eastAsia="Arial" w:hAnsi="Arial"/>
                <w:sz w:val="13"/>
                <w:szCs w:val="13"/>
                <w:b w:val="1"/>
                <w:bCs w:val="1"/>
                <w:color w:val="auto"/>
              </w:rPr>
              <w:t>2020</w:t>
            </w:r>
          </w:p>
        </w:tc>
      </w:tr>
      <w:tr>
        <w:trPr>
          <w:trHeight w:val="28"/>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87"/>
        </w:trPr>
        <w:tc>
          <w:tcPr>
            <w:tcW w:w="636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(201,326)</w:t>
            </w:r>
          </w:p>
        </w:tc>
        <w:tc>
          <w:tcPr>
            <w:tcW w:w="100" w:type="dxa"/>
            <w:vAlign w:val="bottom"/>
          </w:tcPr>
          <w:p>
            <w:pPr>
              <w:spacing w:after="0"/>
              <w:rPr>
                <w:sz w:val="16"/>
                <w:szCs w:val="16"/>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25,876</w:t>
            </w:r>
          </w:p>
        </w:tc>
        <w:tc>
          <w:tcPr>
            <w:tcW w:w="100" w:type="dxa"/>
            <w:vAlign w:val="bottom"/>
          </w:tcPr>
          <w:p>
            <w:pPr>
              <w:spacing w:after="0"/>
              <w:rPr>
                <w:sz w:val="16"/>
                <w:szCs w:val="16"/>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11,156</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income to net cash used in operating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87"/>
        </w:trPr>
        <w:tc>
          <w:tcPr>
            <w:tcW w:w="636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35,073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22,860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17,486</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Unrealized loss (gain) on foreign currency</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5,389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(2,623)</w:t>
            </w:r>
          </w:p>
        </w:tc>
      </w:tr>
      <w:tr>
        <w:trPr>
          <w:trHeight w:val="187"/>
        </w:trPr>
        <w:tc>
          <w:tcPr>
            <w:tcW w:w="6360" w:type="dxa"/>
            <w:vAlign w:val="bottom"/>
          </w:tcPr>
          <w:p>
            <w:pPr>
              <w:ind w:left="140"/>
              <w:spacing w:after="0"/>
              <w:rPr>
                <w:sz w:val="20"/>
                <w:szCs w:val="20"/>
                <w:color w:val="auto"/>
              </w:rPr>
            </w:pPr>
            <w:r>
              <w:rPr>
                <w:rFonts w:ascii="Arial" w:cs="Arial" w:eastAsia="Arial" w:hAnsi="Arial"/>
                <w:sz w:val="13"/>
                <w:szCs w:val="13"/>
                <w:color w:val="auto"/>
              </w:rPr>
              <w:t>Stock 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21,605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23,565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1,189</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 in fair value of warrants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(4,740)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360" w:type="dxa"/>
            <w:vAlign w:val="bottom"/>
          </w:tcPr>
          <w:p>
            <w:pPr>
              <w:ind w:left="140"/>
              <w:spacing w:after="0"/>
              <w:rPr>
                <w:sz w:val="20"/>
                <w:szCs w:val="20"/>
                <w:color w:val="auto"/>
              </w:rPr>
            </w:pPr>
            <w:r>
              <w:rPr>
                <w:rFonts w:ascii="Arial" w:cs="Arial" w:eastAsia="Arial" w:hAnsi="Arial"/>
                <w:sz w:val="13"/>
                <w:szCs w:val="13"/>
                <w:color w:val="auto"/>
              </w:rPr>
              <w:t>Change in fair value of derivative liability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(26,745)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Issuance costs allocated to derivative liability</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360" w:type="dxa"/>
            <w:vAlign w:val="bottom"/>
          </w:tcPr>
          <w:p>
            <w:pPr>
              <w:ind w:left="140"/>
              <w:spacing w:after="0"/>
              <w:rPr>
                <w:sz w:val="20"/>
                <w:szCs w:val="20"/>
                <w:color w:val="auto"/>
              </w:rPr>
            </w:pPr>
            <w:r>
              <w:rPr>
                <w:rFonts w:ascii="Arial" w:cs="Arial" w:eastAsia="Arial" w:hAnsi="Arial"/>
                <w:sz w:val="13"/>
                <w:szCs w:val="13"/>
                <w:color w:val="auto"/>
              </w:rPr>
              <w:t>Amortization of debt discount and deferred issuance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Deferred income tax</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(28,087)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87"/>
        </w:trPr>
        <w:tc>
          <w:tcPr>
            <w:tcW w:w="6360" w:type="dxa"/>
            <w:vAlign w:val="bottom"/>
          </w:tcPr>
          <w:p>
            <w:pPr>
              <w:ind w:left="140"/>
              <w:spacing w:after="0"/>
              <w:rPr>
                <w:sz w:val="20"/>
                <w:szCs w:val="20"/>
                <w:color w:val="auto"/>
              </w:rPr>
            </w:pPr>
            <w:r>
              <w:rPr>
                <w:rFonts w:ascii="Arial" w:cs="Arial" w:eastAsia="Arial" w:hAnsi="Arial"/>
                <w:sz w:val="13"/>
                <w:szCs w:val="13"/>
                <w:color w:val="auto"/>
              </w:rPr>
              <w:t>Loss on disposition of subsidiaries</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711</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(Gain) loss on disposition of assets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w:t>
            </w:r>
          </w:p>
        </w:tc>
      </w:tr>
      <w:tr>
        <w:trPr>
          <w:trHeight w:val="187"/>
        </w:trPr>
        <w:tc>
          <w:tcPr>
            <w:tcW w:w="6360" w:type="dxa"/>
            <w:vAlign w:val="bottom"/>
          </w:tcPr>
          <w:p>
            <w:pPr>
              <w:ind w:left="140"/>
              <w:spacing w:after="0"/>
              <w:rPr>
                <w:sz w:val="20"/>
                <w:szCs w:val="20"/>
                <w:color w:val="auto"/>
              </w:rPr>
            </w:pPr>
            <w:r>
              <w:rPr>
                <w:rFonts w:ascii="Arial" w:cs="Arial" w:eastAsia="Arial" w:hAnsi="Arial"/>
                <w:sz w:val="13"/>
                <w:szCs w:val="13"/>
                <w:color w:val="auto"/>
              </w:rPr>
              <w:t>Loss on extinguishment of debt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Unrealized gain on investment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187"/>
        </w:trPr>
        <w:tc>
          <w:tcPr>
            <w:tcW w:w="6360" w:type="dxa"/>
            <w:vAlign w:val="bottom"/>
          </w:tcPr>
          <w:p>
            <w:pPr>
              <w:ind w:left="140"/>
              <w:spacing w:after="0"/>
              <w:rPr>
                <w:sz w:val="20"/>
                <w:szCs w:val="20"/>
                <w:color w:val="auto"/>
              </w:rPr>
            </w:pPr>
            <w:r>
              <w:rPr>
                <w:rFonts w:ascii="Arial" w:cs="Arial" w:eastAsia="Arial" w:hAnsi="Arial"/>
                <w:sz w:val="13"/>
                <w:szCs w:val="13"/>
                <w:color w:val="auto"/>
              </w:rPr>
              <w:t>Provision for doubtful accounts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322</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Impairment expense</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360" w:type="dxa"/>
            <w:vAlign w:val="bottom"/>
          </w:tcPr>
          <w:p>
            <w:pPr>
              <w:ind w:left="20"/>
              <w:spacing w:after="0"/>
              <w:rPr>
                <w:sz w:val="20"/>
                <w:szCs w:val="20"/>
                <w:color w:val="auto"/>
              </w:rPr>
            </w:pPr>
            <w:r>
              <w:rPr>
                <w:rFonts w:ascii="Arial" w:cs="Arial" w:eastAsia="Arial" w:hAnsi="Arial"/>
                <w:sz w:val="13"/>
                <w:szCs w:val="13"/>
                <w:color w:val="auto"/>
              </w:rPr>
              <w:t>Noncash lease expense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19,870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23,941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(12,951)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(7,086)</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Prepaid expenses and other current assets and prepaid expenses and other assets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2,537</w:t>
            </w:r>
          </w:p>
        </w:tc>
      </w:tr>
      <w:tr>
        <w:trPr>
          <w:trHeight w:val="187"/>
        </w:trPr>
        <w:tc>
          <w:tcPr>
            <w:tcW w:w="636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11,582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3,546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(1,521)</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Deferred rent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(4,456)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397</w:t>
            </w:r>
          </w:p>
        </w:tc>
      </w:tr>
      <w:tr>
        <w:trPr>
          <w:trHeight w:val="187"/>
        </w:trPr>
        <w:tc>
          <w:tcPr>
            <w:tcW w:w="6360" w:type="dxa"/>
            <w:vAlign w:val="bottom"/>
          </w:tcPr>
          <w:p>
            <w:pPr>
              <w:ind w:left="240"/>
              <w:spacing w:after="0"/>
              <w:rPr>
                <w:sz w:val="20"/>
                <w:szCs w:val="20"/>
                <w:color w:val="auto"/>
              </w:rPr>
            </w:pPr>
            <w:r>
              <w:rPr>
                <w:rFonts w:ascii="Arial" w:cs="Arial" w:eastAsia="Arial" w:hAnsi="Arial"/>
                <w:sz w:val="13"/>
                <w:szCs w:val="13"/>
                <w:color w:val="auto"/>
              </w:rPr>
              <w:t>Accrued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1,429</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Accrued expenses, other current liabilities and other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(2,841)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2,086</w:t>
            </w: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(23,249)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Deferred revenue</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7,154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(5,759)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1,004</w:t>
            </w:r>
          </w:p>
        </w:tc>
      </w:tr>
      <w:tr>
        <w:trPr>
          <w:trHeight w:val="180"/>
        </w:trPr>
        <w:tc>
          <w:tcPr>
            <w:tcW w:w="6360" w:type="dxa"/>
            <w:vAlign w:val="bottom"/>
          </w:tcPr>
          <w:p>
            <w:pPr>
              <w:ind w:left="20"/>
              <w:spacing w:after="0"/>
              <w:rPr>
                <w:sz w:val="20"/>
                <w:szCs w:val="20"/>
                <w:color w:val="auto"/>
              </w:rPr>
            </w:pPr>
            <w:r>
              <w:rPr>
                <w:rFonts w:ascii="Arial" w:cs="Arial" w:eastAsia="Arial" w:hAnsi="Arial"/>
                <w:sz w:val="13"/>
                <w:szCs w:val="13"/>
                <w:color w:val="auto"/>
              </w:rPr>
              <w:t>Cash (used in) provided by operating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(7,857)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27,553</w:t>
            </w:r>
          </w:p>
        </w:tc>
      </w:tr>
      <w:tr>
        <w:trPr>
          <w:trHeight w:val="30"/>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88"/>
        </w:trPr>
        <w:tc>
          <w:tcPr>
            <w:tcW w:w="63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Business acquisitions, net of cash acquired</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(189,885)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36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(4,708)</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Capitalization of internal-use software</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(12,361)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(11,039)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(9,830)</w:t>
            </w: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color w:val="auto"/>
              </w:rPr>
              <w:t>Proceeds from sale of asset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of disposed subsidiaries, less proceeds on disposition</w:t>
            </w: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(265)</w:t>
            </w:r>
          </w:p>
        </w:tc>
      </w:tr>
      <w:tr>
        <w:trPr>
          <w:trHeight w:val="180"/>
        </w:trPr>
        <w:tc>
          <w:tcPr>
            <w:tcW w:w="6360" w:type="dxa"/>
            <w:vAlign w:val="bottom"/>
          </w:tcPr>
          <w:p>
            <w:pPr>
              <w:ind w:left="20"/>
              <w:spacing w:after="0"/>
              <w:rPr>
                <w:sz w:val="20"/>
                <w:szCs w:val="20"/>
                <w:color w:val="auto"/>
              </w:rPr>
            </w:pPr>
            <w:r>
              <w:rPr>
                <w:rFonts w:ascii="Arial" w:cs="Arial" w:eastAsia="Arial" w:hAnsi="Arial"/>
                <w:sz w:val="13"/>
                <w:szCs w:val="13"/>
                <w:color w:val="auto"/>
              </w:rPr>
              <w:t>Cash used in investing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(17,285)</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(208,028)</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(14,803)</w:t>
            </w:r>
          </w:p>
        </w:tc>
      </w:tr>
      <w:tr>
        <w:trPr>
          <w:trHeight w:val="30"/>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88"/>
        </w:trPr>
        <w:tc>
          <w:tcPr>
            <w:tcW w:w="63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reverse recapitalization, net of costs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(11,652)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360" w:type="dxa"/>
            <w:vAlign w:val="bottom"/>
          </w:tcPr>
          <w:p>
            <w:pPr>
              <w:ind w:left="20"/>
              <w:spacing w:after="0"/>
              <w:rPr>
                <w:sz w:val="20"/>
                <w:szCs w:val="20"/>
                <w:color w:val="auto"/>
              </w:rPr>
            </w:pPr>
            <w:r>
              <w:rPr>
                <w:rFonts w:ascii="Arial" w:cs="Arial" w:eastAsia="Arial" w:hAnsi="Arial"/>
                <w:sz w:val="13"/>
                <w:szCs w:val="13"/>
                <w:color w:val="auto"/>
              </w:rPr>
              <w:t>Proceeds from issuance of common stock</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 for shares withheld for employee taxes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360" w:type="dxa"/>
            <w:vAlign w:val="bottom"/>
          </w:tcPr>
          <w:p>
            <w:pPr>
              <w:ind w:left="20"/>
              <w:spacing w:after="0"/>
              <w:rPr>
                <w:sz w:val="20"/>
                <w:szCs w:val="20"/>
                <w:color w:val="auto"/>
              </w:rPr>
            </w:pPr>
            <w:r>
              <w:rPr>
                <w:rFonts w:ascii="Arial" w:cs="Arial" w:eastAsia="Arial" w:hAnsi="Arial"/>
                <w:sz w:val="13"/>
                <w:szCs w:val="13"/>
                <w:color w:val="auto"/>
              </w:rPr>
              <w:t>Deferred reverse recapitalization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convertible notes, net of issuance costs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143,806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159</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Borrowings from revolving credit facility</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19,896</w:t>
            </w: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color w:val="auto"/>
              </w:rPr>
              <w:t>Payments on revolving credit facility</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Borrowings from secured borrowing facility</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217,382</w:t>
            </w: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color w:val="auto"/>
              </w:rPr>
              <w:t>Repayments on secured borrowing facility</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(217,982)</w:t>
            </w:r>
          </w:p>
        </w:tc>
      </w:tr>
      <w:tr>
        <w:trPr>
          <w:trHeight w:val="30"/>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provided by financing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3,176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181,823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19,455</w:t>
            </w:r>
          </w:p>
        </w:tc>
      </w:tr>
      <w:tr>
        <w:trPr>
          <w:trHeight w:val="186"/>
        </w:trPr>
        <w:tc>
          <w:tcPr>
            <w:tcW w:w="6360" w:type="dxa"/>
            <w:vAlign w:val="bottom"/>
          </w:tcPr>
          <w:p>
            <w:pPr>
              <w:ind w:left="20"/>
              <w:spacing w:after="0"/>
              <w:rPr>
                <w:sz w:val="20"/>
                <w:szCs w:val="20"/>
                <w:color w:val="auto"/>
              </w:rPr>
            </w:pPr>
            <w:r>
              <w:rPr>
                <w:rFonts w:ascii="Arial" w:cs="Arial" w:eastAsia="Arial" w:hAnsi="Arial"/>
                <w:sz w:val="13"/>
                <w:szCs w:val="13"/>
                <w:color w:val="auto"/>
              </w:rPr>
              <w:t>Effect of currency translation on cash and cash equivalents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30"/>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(23,959)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(26,393)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32,102</w:t>
            </w:r>
          </w:p>
        </w:tc>
      </w:tr>
      <w:tr>
        <w:trPr>
          <w:trHeight w:val="180"/>
        </w:trPr>
        <w:tc>
          <w:tcPr>
            <w:tcW w:w="6360" w:type="dxa"/>
            <w:vAlign w:val="bottom"/>
          </w:tcPr>
          <w:p>
            <w:pPr>
              <w:ind w:left="20"/>
              <w:spacing w:after="0"/>
              <w:rPr>
                <w:sz w:val="20"/>
                <w:szCs w:val="20"/>
                <w:color w:val="auto"/>
              </w:rPr>
            </w:pPr>
            <w:r>
              <w:rPr>
                <w:rFonts w:ascii="Arial" w:cs="Arial" w:eastAsia="Arial" w:hAnsi="Arial"/>
                <w:sz w:val="13"/>
                <w:szCs w:val="13"/>
                <w:color w:val="auto"/>
              </w:rPr>
              <w:t>Cash, cash and cash equivalents and restricted cash at beginning of year</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79,733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106,126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74,024</w:t>
            </w:r>
          </w:p>
        </w:tc>
      </w:tr>
      <w:tr>
        <w:trPr>
          <w:trHeight w:val="30"/>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and cash equivalents and restricted cash at end of year</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79,733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106,126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45" w:right="339" w:bottom="1440" w:gutter="0" w:footer="0" w:header="0"/>
        </w:sectPr>
      </w:pPr>
    </w:p>
    <w:bookmarkStart w:id="12" w:name="page13"/>
    <w:bookmarkEnd w:id="12"/>
    <w:p>
      <w:pPr>
        <w:ind w:left="4840"/>
        <w:spacing w:after="0"/>
        <w:rPr>
          <w:sz w:val="20"/>
          <w:szCs w:val="20"/>
          <w:color w:val="auto"/>
        </w:rPr>
      </w:pPr>
      <w:r>
        <w:rPr>
          <w:rFonts w:ascii="Arial" w:cs="Arial" w:eastAsia="Arial" w:hAnsi="Arial"/>
          <w:sz w:val="20"/>
          <w:szCs w:val="20"/>
          <w:b w:val="1"/>
          <w:bCs w:val="1"/>
          <w:color w:val="auto"/>
        </w:rPr>
        <w:t>BUZZFEED, INC.</w:t>
      </w:r>
    </w:p>
    <w:p>
      <w:pPr>
        <w:ind w:left="3980"/>
        <w:spacing w:after="0" w:line="233" w:lineRule="auto"/>
        <w:rPr>
          <w:sz w:val="20"/>
          <w:szCs w:val="20"/>
          <w:color w:val="auto"/>
        </w:rPr>
      </w:pPr>
      <w:r>
        <w:rPr>
          <w:rFonts w:ascii="Arial" w:cs="Arial" w:eastAsia="Arial" w:hAnsi="Arial"/>
          <w:sz w:val="20"/>
          <w:szCs w:val="20"/>
          <w:b w:val="1"/>
          <w:bCs w:val="1"/>
          <w:color w:val="auto"/>
        </w:rPr>
        <w:t>Reconciliation of GAAP to Non-GAAP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Three Months Ended December 31,</w:t>
            </w:r>
          </w:p>
        </w:tc>
        <w:tc>
          <w:tcPr>
            <w:tcW w:w="380" w:type="dxa"/>
            <w:vAlign w:val="bottom"/>
          </w:tcPr>
          <w:p>
            <w:pPr>
              <w:spacing w:after="0"/>
              <w:rPr>
                <w:sz w:val="20"/>
                <w:szCs w:val="20"/>
                <w:color w:val="auto"/>
              </w:rPr>
            </w:pPr>
          </w:p>
        </w:tc>
        <w:tc>
          <w:tcPr>
            <w:tcW w:w="19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5"/>
            <w:vMerge w:val="continue"/>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00" w:type="dxa"/>
            <w:vAlign w:val="bottom"/>
            <w:gridSpan w:val="2"/>
          </w:tcPr>
          <w:p>
            <w:pPr>
              <w:ind w:left="20"/>
              <w:spacing w:after="0"/>
              <w:rPr>
                <w:sz w:val="20"/>
                <w:szCs w:val="20"/>
                <w:color w:val="auto"/>
              </w:rPr>
            </w:pPr>
            <w:r>
              <w:rPr>
                <w:rFonts w:ascii="Arial" w:cs="Arial" w:eastAsia="Arial" w:hAnsi="Arial"/>
                <w:sz w:val="18"/>
                <w:szCs w:val="18"/>
                <w:i w:val="1"/>
                <w:iCs w:val="1"/>
                <w:color w:val="auto"/>
              </w:rPr>
              <w:t>USD in thousands</w:t>
            </w:r>
          </w:p>
        </w:tc>
        <w:tc>
          <w:tcPr>
            <w:tcW w:w="220" w:type="dxa"/>
            <w:vAlign w:val="bottom"/>
          </w:tcPr>
          <w:p>
            <w:pPr>
              <w:spacing w:after="0"/>
              <w:rPr>
                <w:sz w:val="21"/>
                <w:szCs w:val="21"/>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41,572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(201,326)</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25,876</w:t>
            </w: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22"/>
                <w:szCs w:val="22"/>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(21,393)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(26,404)</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1,746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21,155</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2"/>
                <w:szCs w:val="22"/>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2,223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3,076</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7,827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35,073</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22,715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21,605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23,565</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(4,740)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(4,543)</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Pr>
          <w:p>
            <w:pPr>
              <w:spacing w:after="0"/>
              <w:rPr>
                <w:sz w:val="22"/>
                <w:szCs w:val="22"/>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(26,745)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(4,695)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(26,745)</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15,043</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9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Impairment expense</w:t>
            </w:r>
            <w:r>
              <w:rPr>
                <w:rFonts w:ascii="Arial" w:cs="Arial" w:eastAsia="Arial" w:hAnsi="Arial"/>
                <w:sz w:val="23"/>
                <w:szCs w:val="23"/>
                <w:color w:val="auto"/>
                <w:vertAlign w:val="superscript"/>
              </w:rPr>
              <w:t>2</w:t>
            </w:r>
          </w:p>
        </w:tc>
        <w:tc>
          <w:tcPr>
            <w:tcW w:w="22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102,340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104,500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9,699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9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Litigation costs</w:t>
            </w:r>
            <w:r>
              <w:rPr>
                <w:rFonts w:ascii="Arial" w:cs="Arial" w:eastAsia="Arial" w:hAnsi="Arial"/>
                <w:sz w:val="23"/>
                <w:szCs w:val="23"/>
                <w:color w:val="auto"/>
                <w:vertAlign w:val="superscript"/>
              </w:rPr>
              <w:t>4</w:t>
            </w:r>
          </w:p>
        </w:tc>
        <w:tc>
          <w:tcPr>
            <w:tcW w:w="22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Public company readiness costs</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5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17,555</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34,209</w:t>
            </w:r>
          </w:p>
        </w:tc>
        <w:tc>
          <w:tcPr>
            <w:tcW w:w="8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41,516</w:t>
            </w:r>
          </w:p>
        </w:tc>
        <w:tc>
          <w:tcPr>
            <w:tcW w:w="0" w:type="dxa"/>
            <w:vAlign w:val="bottom"/>
          </w:tcPr>
          <w:p>
            <w:pPr>
              <w:spacing w:after="0"/>
              <w:rPr>
                <w:sz w:val="1"/>
                <w:szCs w:val="1"/>
                <w:color w:val="auto"/>
              </w:rPr>
            </w:pPr>
          </w:p>
        </w:tc>
      </w:tr>
      <w:tr>
        <w:trPr>
          <w:trHeight w:val="40"/>
        </w:trPr>
        <w:tc>
          <w:tcPr>
            <w:tcW w:w="4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325"/>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Net (loss) income as a percentage of revenue</w:t>
            </w:r>
            <w:r>
              <w:rPr>
                <w:rFonts w:ascii="Arial" w:cs="Arial" w:eastAsia="Arial" w:hAnsi="Arial"/>
                <w:sz w:val="23"/>
                <w:szCs w:val="23"/>
                <w:color w:val="auto"/>
                <w:vertAlign w:val="superscript"/>
              </w:rPr>
              <w:t>6</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37973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973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firstLine="8"/>
        <w:spacing w:after="0" w:line="228"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year ended December 31, 2022, represents costs associated with certain organizational changes to align sales and marketing and general and administrative functions as well as changes in content to better service audience demands, and costs incurred as part of a strategic repositioning of BuzzFeed News. Additionally, for the year ended December 31, 2022, represents costs associated with the reduction in workforce plan, which is intended to reduce the Company’s costs in response to a combination of factors, including (i) challenging macroeconomic conditions; (ii) completing the integration of Complex Networks and eliminating redundancies; and (iii) an ongoing audience shift to short-form, vertical video, which is still developing from a monetization standpoint. For the year ended December 31, 2021, reflect costs associated with involuntary terminations of employees across various roles and levels as part of the integration of the HuffPost Acquisition.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spacing w:after="0" w:line="191" w:lineRule="exact"/>
        <w:rPr>
          <w:rFonts w:ascii="Arial" w:cs="Arial" w:eastAsia="Arial" w:hAnsi="Arial"/>
          <w:sz w:val="17"/>
          <w:szCs w:val="17"/>
          <w:color w:val="auto"/>
        </w:rPr>
      </w:pPr>
    </w:p>
    <w:p>
      <w:pPr>
        <w:ind w:right="200" w:firstLine="8"/>
        <w:spacing w:after="0" w:line="229"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aggregate non-cash impairment expenses recorded during the year ended December 31, 2022 associated with goodwill impairment of $102.3 million and $2.2 million related to certain long-lived assets of our former corporate headquarters which was fully subleased during the third quarter of 2022.</w:t>
      </w:r>
    </w:p>
    <w:p>
      <w:pPr>
        <w:spacing w:after="0" w:line="190" w:lineRule="exact"/>
        <w:rPr>
          <w:rFonts w:ascii="Arial" w:cs="Arial" w:eastAsia="Arial" w:hAnsi="Arial"/>
          <w:sz w:val="18"/>
          <w:szCs w:val="18"/>
          <w:color w:val="auto"/>
        </w:rPr>
      </w:pPr>
    </w:p>
    <w:p>
      <w:pPr>
        <w:jc w:val="both"/>
        <w:ind w:right="240" w:firstLine="8"/>
        <w:spacing w:after="0" w:line="229"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IT systems.</w:t>
      </w:r>
    </w:p>
    <w:p>
      <w:pPr>
        <w:spacing w:after="0" w:line="190" w:lineRule="exact"/>
        <w:rPr>
          <w:rFonts w:ascii="Arial" w:cs="Arial" w:eastAsia="Arial" w:hAnsi="Arial"/>
          <w:sz w:val="18"/>
          <w:szCs w:val="18"/>
          <w:color w:val="auto"/>
        </w:rPr>
      </w:pPr>
    </w:p>
    <w:p>
      <w:pPr>
        <w:ind w:right="40" w:firstLine="8"/>
        <w:spacing w:after="0" w:line="289"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spacing w:after="0" w:line="164"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one-time initial set-up costs associated with the establishment of our public company structure and processes.</w:t>
      </w:r>
    </w:p>
    <w:p>
      <w:pPr>
        <w:spacing w:after="0" w:line="211" w:lineRule="exact"/>
        <w:rPr>
          <w:rFonts w:ascii="Arial" w:cs="Arial" w:eastAsia="Arial" w:hAnsi="Arial"/>
          <w:sz w:val="18"/>
          <w:szCs w:val="18"/>
          <w:color w:val="auto"/>
        </w:rPr>
      </w:pPr>
    </w:p>
    <w:p>
      <w:pPr>
        <w:ind w:right="140" w:firstLine="8"/>
        <w:spacing w:after="0" w:line="23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(loss) income as a percentage of revenue is included as the most comparable GAAP measure to Adjusted EBITDA margin, which is a Non-GAAP measure.</w:t>
      </w:r>
    </w:p>
    <w:sectPr>
      <w:pgSz w:w="11900" w:h="16838" w:orient="portrait"/>
      <w:cols w:equalWidth="0" w:num="1">
        <w:col w:w="11240"/>
      </w:cols>
      <w:pgMar w:left="320" w:top="14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10"/>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2023-03-13T18:17:34Z</dcterms:created>
  <dcterms:modified xsi:type="dcterms:W3CDTF">2023-03-13T18:17:34Z</dcterms:modified>
</cp:coreProperties>
</file>