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October 19,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BuzzFeed, Inc.</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892" w:type="dxa"/>
        <w:jc w:val="left"/>
        <w:tblInd w:w="0" w:type="dxa"/>
        <w:tblLayout w:type="fixed"/>
        <w:tblCellMar>
          <w:top w:w="28" w:type="dxa"/>
          <w:left w:w="28" w:type="dxa"/>
          <w:bottom w:w="28" w:type="dxa"/>
          <w:right w:w="28" w:type="dxa"/>
        </w:tblCellMar>
      </w:tblPr>
      <w:tblGrid>
        <w:gridCol w:w="948"/>
        <w:gridCol w:w="833"/>
        <w:gridCol w:w="843"/>
        <w:gridCol w:w="403"/>
        <w:gridCol w:w="403"/>
        <w:gridCol w:w="408"/>
        <w:gridCol w:w="599"/>
        <w:gridCol w:w="599"/>
        <w:gridCol w:w="856"/>
      </w:tblGrid>
      <w:tr>
        <w:trPr/>
        <w:tc>
          <w:tcPr>
            <w:tcW w:w="94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4"/>
                <w:sz w:val="20"/>
              </w:rPr>
            </w:pPr>
            <w:r>
              <w:rPr>
                <w:rFonts w:ascii="Times New Roman;serif" w:hAnsi="Times New Roman;serif"/>
                <w:b/>
                <w:color w:val="000004"/>
                <w:sz w:val="20"/>
              </w:rPr>
              <w:t>001-39877</w:t>
            </w:r>
          </w:p>
        </w:tc>
        <w:tc>
          <w:tcPr>
            <w:tcW w:w="20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85-3022075</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 incorporation or organization)</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br/>
              <w:t> File Number)</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 Identification Number)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pPr>
      <w:r>
        <w:rPr>
          <w:rFonts w:ascii="Times New Roman;serif" w:hAnsi="Times New Roman;serif"/>
          <w:b/>
          <w:color w:val="000000"/>
          <w:sz w:val="20"/>
        </w:rPr>
        <w:t>50 West 23</w:t>
      </w:r>
      <w:r>
        <w:rPr>
          <w:rFonts w:ascii="Times New Roman;serif" w:hAnsi="Times New Roman;serif"/>
          <w:b/>
          <w:color w:val="000000"/>
          <w:sz w:val="13"/>
        </w:rPr>
        <w:t>rd</w:t>
      </w:r>
      <w:r>
        <w:rPr>
          <w:color w:val="000000"/>
        </w:rPr>
        <w:t xml:space="preserve"> </w:t>
      </w:r>
      <w:r>
        <w:rPr>
          <w:rFonts w:ascii="Times New Roman;serif" w:hAnsi="Times New Roman;serif"/>
          <w:b/>
          <w:color w:val="000000"/>
          <w:sz w:val="20"/>
        </w:rPr>
        <w:t>Street</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New York, New York 10010</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registrant’s principal executive offices, and zip code)</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(646) 397-2039</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447" w:type="dxa"/>
        <w:jc w:val="left"/>
        <w:tblInd w:w="0" w:type="dxa"/>
        <w:tblLayout w:type="fixed"/>
        <w:tblCellMar>
          <w:top w:w="28" w:type="dxa"/>
          <w:left w:w="28" w:type="dxa"/>
          <w:bottom w:w="28" w:type="dxa"/>
          <w:right w:w="28" w:type="dxa"/>
        </w:tblCellMar>
      </w:tblPr>
      <w:tblGrid>
        <w:gridCol w:w="124"/>
        <w:gridCol w:w="109"/>
        <w:gridCol w:w="109"/>
        <w:gridCol w:w="2662"/>
        <w:gridCol w:w="2662"/>
        <w:gridCol w:w="37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37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 pursuant to Rule 13e-4(c) under the Exchange Act (17 CFR 240.13e-4(c))</w:t>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03"/>
        <w:gridCol w:w="2038"/>
        <w:gridCol w:w="2062"/>
        <w:gridCol w:w="109"/>
        <w:gridCol w:w="109"/>
        <w:gridCol w:w="109"/>
        <w:gridCol w:w="307"/>
        <w:gridCol w:w="307"/>
        <w:gridCol w:w="308"/>
        <w:gridCol w:w="109"/>
        <w:gridCol w:w="109"/>
        <w:gridCol w:w="109"/>
        <w:gridCol w:w="533"/>
        <w:gridCol w:w="533"/>
        <w:gridCol w:w="760"/>
      </w:tblGrid>
      <w:tr>
        <w:trPr/>
        <w:tc>
          <w:tcPr>
            <w:tcW w:w="2703"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r>
      <w:tr>
        <w:trPr/>
        <w:tc>
          <w:tcPr>
            <w:tcW w:w="680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Trading</w:t>
            </w:r>
          </w:p>
          <w:p>
            <w:pPr>
              <w:pStyle w:val="TableContents"/>
              <w:bidi w:val="0"/>
              <w:spacing w:lineRule="auto" w:line="276" w:before="0" w:after="0"/>
              <w:jc w:val="center"/>
              <w:rPr>
                <w:color w:val="000000"/>
              </w:rPr>
            </w:pPr>
            <w:r>
              <w:rPr>
                <w:color w:val="000000"/>
              </w:rPr>
              <w:t> </w:t>
            </w:r>
            <w:r>
              <w:rPr>
                <w:rFonts w:ascii="Times New Roman;serif" w:hAnsi="Times New Roman;serif"/>
                <w:b w:val="false"/>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Name of each exchange</w:t>
            </w:r>
          </w:p>
          <w:p>
            <w:pPr>
              <w:pStyle w:val="TableContents"/>
              <w:bidi w:val="0"/>
              <w:spacing w:lineRule="auto" w:line="276" w:before="0" w:after="0"/>
              <w:jc w:val="center"/>
              <w:rPr>
                <w:color w:val="000000"/>
              </w:rPr>
            </w:pPr>
            <w:r>
              <w:rPr>
                <w:color w:val="000000"/>
              </w:rPr>
              <w:t> </w:t>
            </w:r>
            <w:r>
              <w:rPr>
                <w:rFonts w:ascii="Times New Roman;serif" w:hAnsi="Times New Roman;serif"/>
                <w:b w:val="false"/>
                <w:color w:val="000000"/>
                <w:sz w:val="20"/>
              </w:rPr>
              <w:t>on which registered</w:t>
            </w:r>
          </w:p>
        </w:tc>
      </w:tr>
      <w:tr>
        <w:trPr/>
        <w:tc>
          <w:tcPr>
            <w:tcW w:w="68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BZFD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680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warrants, each whole warrant exercisable for one share of Class A Common Stock at an exercise price of approximately $46.00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BZFDW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or Rule 12b-2 of the Securities Exchange Act of 1934.</w:t>
      </w:r>
    </w:p>
    <w:p>
      <w:pPr>
        <w:pStyle w:val="TextBody"/>
        <w:bidi w:val="0"/>
        <w:spacing w:lineRule="auto" w:line="276" w:before="0" w:after="0"/>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4"/>
        </w:rPr>
        <w:t>x</w:t>
      </w:r>
    </w:p>
    <w:p>
      <w:pPr>
        <w:pStyle w:val="TextBody"/>
        <w:bidi w:val="0"/>
        <w:spacing w:lineRule="auto" w:line="276"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both"/>
        <w:rPr/>
      </w:pPr>
      <w:r>
        <w:rPr/>
      </w:r>
    </w:p>
    <w:p>
      <w:pPr>
        <w:pStyle w:val="TextBody"/>
        <w:bidi w:val="0"/>
        <w:spacing w:lineRule="auto" w:line="288" w:before="0" w:after="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(b) Departure of Chief Legal Officer and Corporate Secretary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19, 2026, David Arroyo announced his resignation as Chief Legal Officer and Corporate Secretary of BuzzFeed, Inc. (the “Company”), effective November 6, 2026, in order to pursue other opportunities outside of the Company. Mr. Arroyo is not entitled to any severance benefits in connection with his resignation from the Company. Mr. Arroyo’s resignation was not due to any disagreement with the Company or any matter relating to the Company's operations, policies, or practices. </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Mr. Arroyo’s responsibilities will be absorbed by members of the legal team while the Company seeks a replacement for this position. </w:t>
      </w:r>
    </w:p>
    <w:p>
      <w:pPr>
        <w:pStyle w:val="TextBody"/>
        <w:bidi w:val="0"/>
        <w:spacing w:before="0" w:after="0"/>
        <w:ind w:left="0" w:right="0" w:firstLine="36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(d) </w:t>
      </w:r>
      <w:r>
        <w:rPr>
          <w:rFonts w:ascii="Times New Roman;serif" w:hAnsi="Times New Roman;serif"/>
          <w:b w:val="false"/>
          <w:i/>
          <w:color w:val="000000"/>
          <w:sz w:val="20"/>
        </w:rPr>
        <w:t>Exhibits.</w:t>
      </w:r>
    </w:p>
    <w:tbl>
      <w:tblPr>
        <w:tblW w:w="8455"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941"/>
        <w:gridCol w:w="1941"/>
        <w:gridCol w:w="2762"/>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44"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4768" w:type="dxa"/>
        <w:jc w:val="left"/>
        <w:tblInd w:w="0" w:type="dxa"/>
        <w:tblLayout w:type="fixed"/>
        <w:tblCellMar>
          <w:top w:w="28" w:type="dxa"/>
          <w:left w:w="28" w:type="dxa"/>
          <w:bottom w:w="28" w:type="dxa"/>
          <w:right w:w="28" w:type="dxa"/>
        </w:tblCellMar>
      </w:tblPr>
      <w:tblGrid>
        <w:gridCol w:w="200"/>
        <w:gridCol w:w="177"/>
        <w:gridCol w:w="178"/>
        <w:gridCol w:w="354"/>
        <w:gridCol w:w="354"/>
        <w:gridCol w:w="356"/>
        <w:gridCol w:w="215"/>
        <w:gridCol w:w="215"/>
        <w:gridCol w:w="215"/>
        <w:gridCol w:w="732"/>
        <w:gridCol w:w="732"/>
        <w:gridCol w:w="104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0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10/23/2026</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BuzzFeed,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/s/ Matthew Omer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 Matthew Omer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527</Words>
  <Characters>2929</Characters>
  <CharactersWithSpaces>3399</CharactersWithSpaces>
  <Paragraphs>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